
<file path=[Content_Types].xml><?xml version="1.0" encoding="utf-8"?>
<Types xmlns="http://schemas.openxmlformats.org/package/2006/content-types">
  <Default Extension="xml" ContentType="application/xml"/>
  <Default Extension="xlsx" ContentType="application/vnd.openxmlformats-officedocument.spreadsheetml.sheet"/>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ascii="方正小标宋简体" w:hAnsi="宋体" w:eastAsia="方正小标宋简体"/>
          <w:color w:val="auto"/>
          <w:sz w:val="21"/>
          <w:szCs w:val="21"/>
          <w:highlight w:val="none"/>
        </w:rPr>
      </w:pPr>
      <w:bookmarkStart w:id="0" w:name="_Toc15306267"/>
    </w:p>
    <w:p>
      <w:pPr>
        <w:spacing w:line="600" w:lineRule="exact"/>
        <w:jc w:val="center"/>
        <w:outlineLvl w:val="0"/>
        <w:rPr>
          <w:rFonts w:ascii="方正小标宋简体" w:hAnsi="宋体" w:eastAsia="方正小标宋简体"/>
          <w:color w:val="auto"/>
          <w:sz w:val="72"/>
          <w:szCs w:val="72"/>
          <w:highlight w:val="none"/>
        </w:rPr>
      </w:pPr>
    </w:p>
    <w:p>
      <w:pPr>
        <w:spacing w:line="600" w:lineRule="exact"/>
        <w:jc w:val="center"/>
        <w:outlineLvl w:val="0"/>
        <w:rPr>
          <w:rFonts w:ascii="方正小标宋简体" w:hAnsi="宋体" w:eastAsia="方正小标宋简体"/>
          <w:color w:val="auto"/>
          <w:sz w:val="72"/>
          <w:szCs w:val="72"/>
          <w:highlight w:val="none"/>
        </w:rPr>
      </w:pPr>
    </w:p>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1" w:name="_Toc15396475"/>
      <w:bookmarkStart w:id="2" w:name="_Toc15378441"/>
      <w:bookmarkStart w:id="3" w:name="_Toc15396597"/>
      <w:bookmarkStart w:id="4" w:name="_Toc15377193"/>
      <w:bookmarkStart w:id="5" w:name="_Toc15377425"/>
      <w:r>
        <w:rPr>
          <w:rFonts w:hint="eastAsia" w:ascii="方正小标宋简体" w:hAnsi="方正小标宋简体" w:eastAsia="方正小标宋简体" w:cs="方正小标宋简体"/>
          <w:color w:val="auto"/>
          <w:sz w:val="72"/>
          <w:szCs w:val="72"/>
          <w:highlight w:val="none"/>
        </w:rPr>
        <w:t>20</w:t>
      </w:r>
      <w:r>
        <w:rPr>
          <w:rFonts w:hint="eastAsia" w:ascii="方正小标宋简体" w:hAnsi="方正小标宋简体" w:eastAsia="方正小标宋简体" w:cs="方正小标宋简体"/>
          <w:color w:val="auto"/>
          <w:sz w:val="72"/>
          <w:szCs w:val="72"/>
          <w:highlight w:val="none"/>
          <w:lang w:val="en-US" w:eastAsia="zh-CN"/>
        </w:rPr>
        <w:t>22</w:t>
      </w:r>
      <w:r>
        <w:rPr>
          <w:rFonts w:hint="eastAsia" w:ascii="方正小标宋简体" w:hAnsi="方正小标宋简体" w:eastAsia="方正小标宋简体" w:cs="方正小标宋简体"/>
          <w:color w:val="auto"/>
          <w:sz w:val="72"/>
          <w:szCs w:val="72"/>
          <w:highlight w:val="none"/>
        </w:rPr>
        <w:t>年度</w:t>
      </w:r>
      <w:bookmarkEnd w:id="1"/>
      <w:bookmarkEnd w:id="2"/>
      <w:bookmarkEnd w:id="3"/>
      <w:bookmarkEnd w:id="4"/>
      <w:bookmarkEnd w:id="5"/>
    </w:p>
    <w:bookmarkEnd w:id="0"/>
    <w:p>
      <w:pPr>
        <w:adjustRightInd w:val="0"/>
        <w:snapToGrid w:val="0"/>
        <w:spacing w:line="360" w:lineRule="auto"/>
        <w:jc w:val="center"/>
        <w:outlineLvl w:val="0"/>
        <w:rPr>
          <w:rFonts w:hint="eastAsia" w:ascii="方正小标宋简体" w:hAnsi="方正小标宋简体" w:eastAsia="方正小标宋简体" w:cs="方正小标宋简体"/>
          <w:color w:val="auto"/>
          <w:sz w:val="72"/>
          <w:szCs w:val="72"/>
          <w:highlight w:val="none"/>
        </w:rPr>
      </w:pPr>
      <w:bookmarkStart w:id="6" w:name="_Toc15396476"/>
      <w:bookmarkStart w:id="7" w:name="_Toc15378442"/>
      <w:bookmarkStart w:id="8" w:name="_Toc15396598"/>
      <w:bookmarkStart w:id="9" w:name="_Toc15377426"/>
      <w:bookmarkStart w:id="10" w:name="_Toc15377194"/>
      <w:bookmarkStart w:id="11" w:name="_Toc15306268"/>
      <w:r>
        <w:rPr>
          <w:rFonts w:hint="eastAsia" w:ascii="方正小标宋简体" w:hAnsi="方正小标宋简体" w:eastAsia="方正小标宋简体" w:cs="方正小标宋简体"/>
          <w:color w:val="auto"/>
          <w:sz w:val="72"/>
          <w:szCs w:val="72"/>
          <w:highlight w:val="none"/>
          <w:lang w:eastAsia="zh-CN"/>
        </w:rPr>
        <w:t>中共广元市纪律检查委员会（本级）单位</w:t>
      </w:r>
      <w:r>
        <w:rPr>
          <w:rFonts w:hint="eastAsia" w:ascii="方正小标宋简体" w:hAnsi="方正小标宋简体" w:eastAsia="方正小标宋简体" w:cs="方正小标宋简体"/>
          <w:color w:val="auto"/>
          <w:sz w:val="72"/>
          <w:szCs w:val="72"/>
          <w:highlight w:val="none"/>
        </w:rPr>
        <w:t>决算</w:t>
      </w:r>
      <w:bookmarkEnd w:id="6"/>
      <w:bookmarkEnd w:id="7"/>
      <w:bookmarkEnd w:id="8"/>
      <w:bookmarkEnd w:id="9"/>
      <w:bookmarkEnd w:id="10"/>
      <w:bookmarkEnd w:id="11"/>
    </w:p>
    <w:p>
      <w:pPr>
        <w:widowControl/>
        <w:jc w:val="center"/>
        <w:rPr>
          <w:rFonts w:ascii="黑体" w:hAnsi="黑体" w:eastAsia="黑体"/>
          <w:color w:val="auto"/>
          <w:sz w:val="48"/>
          <w:szCs w:val="48"/>
          <w:highlight w:val="none"/>
        </w:rPr>
      </w:pPr>
      <w:r>
        <w:rPr>
          <w:rFonts w:ascii="方正小标宋简体" w:hAnsi="宋体" w:eastAsia="方正小标宋简体"/>
          <w:color w:val="auto"/>
          <w:sz w:val="36"/>
          <w:szCs w:val="36"/>
          <w:highlight w:val="none"/>
        </w:rPr>
        <w:br w:type="page"/>
      </w:r>
      <w:r>
        <w:rPr>
          <w:rFonts w:hint="eastAsia" w:ascii="黑体" w:hAnsi="黑体" w:eastAsia="黑体"/>
          <w:color w:val="auto"/>
          <w:sz w:val="48"/>
          <w:szCs w:val="48"/>
          <w:highlight w:val="none"/>
        </w:rPr>
        <w:t>目录</w:t>
      </w:r>
    </w:p>
    <w:p>
      <w:pPr>
        <w:widowControl/>
        <w:jc w:val="center"/>
        <w:rPr>
          <w:rFonts w:ascii="黑体" w:hAnsi="黑体" w:eastAsia="黑体" w:cstheme="minorBidi"/>
          <w:color w:val="auto"/>
          <w:sz w:val="28"/>
          <w:szCs w:val="28"/>
          <w:highlight w:val="none"/>
        </w:rPr>
      </w:pPr>
    </w:p>
    <w:p>
      <w:pPr>
        <w:pStyle w:val="11"/>
        <w:rPr>
          <w:rFonts w:hint="eastAsia" w:eastAsia="仿宋"/>
          <w:color w:val="auto"/>
          <w:highlight w:val="none"/>
          <w:lang w:val="en-US" w:eastAsia="zh-CN"/>
        </w:rPr>
      </w:pPr>
      <w:r>
        <w:rPr>
          <w:rFonts w:hint="eastAsia"/>
          <w:color w:val="auto"/>
          <w:highlight w:val="none"/>
        </w:rPr>
        <w:t>公开时间：20</w:t>
      </w:r>
      <w:r>
        <w:rPr>
          <w:rFonts w:hint="eastAsia"/>
          <w:color w:val="auto"/>
          <w:highlight w:val="none"/>
          <w:lang w:val="en-US" w:eastAsia="zh-CN"/>
        </w:rPr>
        <w:t>23</w:t>
      </w:r>
      <w:r>
        <w:rPr>
          <w:rFonts w:hint="eastAsia"/>
          <w:color w:val="auto"/>
          <w:highlight w:val="none"/>
        </w:rPr>
        <w:t>年</w:t>
      </w:r>
      <w:r>
        <w:rPr>
          <w:rFonts w:hint="eastAsia"/>
          <w:color w:val="auto"/>
          <w:highlight w:val="none"/>
          <w:lang w:val="en-US" w:eastAsia="zh-CN"/>
        </w:rPr>
        <w:t xml:space="preserve">10 </w:t>
      </w:r>
      <w:r>
        <w:rPr>
          <w:rFonts w:hint="eastAsia"/>
          <w:color w:val="auto"/>
          <w:highlight w:val="none"/>
        </w:rPr>
        <w:t>月</w:t>
      </w:r>
      <w:r>
        <w:rPr>
          <w:rFonts w:hint="eastAsia"/>
          <w:color w:val="auto"/>
          <w:highlight w:val="none"/>
          <w:lang w:val="en-US" w:eastAsia="zh-CN"/>
        </w:rPr>
        <w:t xml:space="preserve">8 </w:t>
      </w:r>
      <w:r>
        <w:rPr>
          <w:rFonts w:hint="eastAsia"/>
          <w:color w:val="auto"/>
          <w:highlight w:val="none"/>
        </w:rPr>
        <w:t>日</w:t>
      </w:r>
    </w:p>
    <w:p>
      <w:pPr>
        <w:rPr>
          <w:color w:val="auto"/>
          <w:highlight w:val="none"/>
        </w:rPr>
      </w:pPr>
    </w:p>
    <w:p>
      <w:pPr>
        <w:pStyle w:val="11"/>
        <w:adjustRightInd w:val="0"/>
        <w:snapToGrid w:val="0"/>
        <w:spacing w:before="0" w:line="440" w:lineRule="exact"/>
        <w:jc w:val="left"/>
        <w:rPr>
          <w:rFonts w:hint="eastAsia" w:eastAsia="黑体" w:cstheme="minorBidi"/>
          <w:color w:val="auto"/>
          <w:sz w:val="24"/>
          <w:szCs w:val="24"/>
          <w:highlight w:val="none"/>
          <w:lang w:val="en-US" w:eastAsia="zh-CN"/>
        </w:rPr>
      </w:pPr>
      <w:r>
        <w:rPr>
          <w:rFonts w:hint="eastAsia"/>
          <w:color w:val="auto"/>
          <w:sz w:val="24"/>
          <w:highlight w:val="none"/>
        </w:rPr>
        <w:t>第一部分</w:t>
      </w:r>
      <w:r>
        <w:rPr>
          <w:color w:val="auto"/>
          <w:sz w:val="24"/>
          <w:highlight w:val="none"/>
        </w:rPr>
        <w:t xml:space="preserve"> </w:t>
      </w:r>
      <w:r>
        <w:rPr>
          <w:rFonts w:hint="eastAsia"/>
          <w:color w:val="auto"/>
          <w:sz w:val="24"/>
          <w:highlight w:val="none"/>
          <w:lang w:eastAsia="zh-CN"/>
        </w:rPr>
        <w:t>单位</w:t>
      </w:r>
      <w:r>
        <w:rPr>
          <w:rFonts w:hint="eastAsia"/>
          <w:color w:val="auto"/>
          <w:sz w:val="24"/>
          <w:highlight w:val="none"/>
        </w:rPr>
        <w:t>概况</w:t>
      </w:r>
      <w:r>
        <w:rPr>
          <w:rFonts w:hint="eastAsia" w:ascii="黑体" w:hAnsi="黑体" w:eastAsia="黑体" w:cs="黑体"/>
        </w:rPr>
        <w:tab/>
      </w:r>
      <w:r>
        <w:rPr>
          <w:rFonts w:hint="eastAsia" w:ascii="黑体" w:hAnsi="黑体" w:eastAsia="黑体" w:cs="黑体"/>
          <w:lang w:val="en-US" w:eastAsia="zh-CN"/>
        </w:rPr>
        <w:t>4</w:t>
      </w:r>
    </w:p>
    <w:p>
      <w:pPr>
        <w:pStyle w:val="12"/>
        <w:adjustRightInd w:val="0"/>
        <w:snapToGrid w:val="0"/>
        <w:spacing w:line="440" w:lineRule="exact"/>
        <w:jc w:val="left"/>
        <w:rPr>
          <w:rFonts w:hint="eastAsia" w:eastAsia="黑体"/>
          <w:color w:val="auto"/>
          <w:sz w:val="24"/>
          <w:highlight w:val="none"/>
          <w:lang w:val="en-US" w:eastAsia="zh-CN"/>
        </w:rPr>
      </w:pPr>
      <w:r>
        <w:rPr>
          <w:rFonts w:hint="eastAsia"/>
          <w:color w:val="auto"/>
          <w:sz w:val="24"/>
          <w:highlight w:val="none"/>
        </w:rPr>
        <w:t>一、</w:t>
      </w:r>
      <w:r>
        <w:rPr>
          <w:rFonts w:hint="eastAsia"/>
          <w:color w:val="auto"/>
          <w:sz w:val="24"/>
          <w:highlight w:val="none"/>
          <w:lang w:eastAsia="zh-CN"/>
        </w:rPr>
        <w:t>主要职责</w:t>
      </w:r>
      <w:r>
        <w:rPr>
          <w:rFonts w:hint="eastAsia" w:ascii="黑体" w:hAnsi="黑体" w:eastAsia="黑体" w:cs="黑体"/>
        </w:rPr>
        <w:tab/>
      </w:r>
      <w:r>
        <w:rPr>
          <w:rFonts w:hint="eastAsia" w:ascii="黑体" w:hAnsi="黑体" w:eastAsia="黑体" w:cs="黑体"/>
          <w:lang w:val="en-US" w:eastAsia="zh-CN"/>
        </w:rPr>
        <w:t>4</w:t>
      </w:r>
    </w:p>
    <w:p>
      <w:pPr>
        <w:pStyle w:val="12"/>
        <w:adjustRightInd w:val="0"/>
        <w:snapToGrid w:val="0"/>
        <w:spacing w:line="440" w:lineRule="exact"/>
        <w:jc w:val="left"/>
        <w:rPr>
          <w:rFonts w:hint="eastAsia" w:eastAsia="黑体"/>
          <w:color w:val="auto"/>
          <w:lang w:val="en-US" w:eastAsia="zh-CN"/>
        </w:rPr>
      </w:pPr>
      <w:r>
        <w:rPr>
          <w:rFonts w:hint="eastAsia"/>
          <w:color w:val="auto"/>
          <w:sz w:val="24"/>
          <w:highlight w:val="none"/>
          <w:lang w:eastAsia="zh-CN"/>
        </w:rPr>
        <w:t>二</w:t>
      </w:r>
      <w:r>
        <w:rPr>
          <w:rFonts w:hint="eastAsia"/>
          <w:color w:val="auto"/>
          <w:sz w:val="24"/>
          <w:highlight w:val="none"/>
        </w:rPr>
        <w:t>、</w:t>
      </w:r>
      <w:r>
        <w:rPr>
          <w:rFonts w:hint="eastAsia"/>
          <w:color w:val="auto"/>
          <w:sz w:val="24"/>
          <w:highlight w:val="none"/>
          <w:lang w:eastAsia="zh-CN"/>
        </w:rPr>
        <w:t>机构设置</w:t>
      </w:r>
      <w:r>
        <w:rPr>
          <w:rFonts w:hint="eastAsia" w:ascii="黑体" w:hAnsi="黑体" w:eastAsia="黑体" w:cs="黑体"/>
        </w:rPr>
        <w:tab/>
      </w:r>
      <w:r>
        <w:rPr>
          <w:rFonts w:hint="eastAsia" w:ascii="黑体" w:hAnsi="黑体" w:eastAsia="黑体" w:cs="黑体"/>
          <w:lang w:val="en-US" w:eastAsia="zh-CN"/>
        </w:rPr>
        <w:t>5</w:t>
      </w:r>
    </w:p>
    <w:p>
      <w:pPr>
        <w:pStyle w:val="11"/>
        <w:adjustRightInd w:val="0"/>
        <w:snapToGrid w:val="0"/>
        <w:spacing w:before="0" w:line="440" w:lineRule="exact"/>
        <w:jc w:val="left"/>
        <w:rPr>
          <w:rFonts w:hint="eastAsia" w:eastAsia="黑体"/>
          <w:color w:val="auto"/>
          <w:sz w:val="24"/>
          <w:szCs w:val="24"/>
          <w:highlight w:val="none"/>
          <w:lang w:val="en-US" w:eastAsia="zh-CN"/>
        </w:rPr>
      </w:pPr>
      <w:r>
        <w:rPr>
          <w:rFonts w:hint="eastAsia"/>
          <w:color w:val="auto"/>
          <w:sz w:val="24"/>
          <w:highlight w:val="none"/>
        </w:rPr>
        <w:t>第二部分</w:t>
      </w:r>
      <w:r>
        <w:rPr>
          <w:rFonts w:hint="eastAsia"/>
          <w:color w:val="auto"/>
          <w:sz w:val="24"/>
          <w:highlight w:val="none"/>
          <w:lang w:val="en-US" w:eastAsia="zh-CN"/>
        </w:rPr>
        <w:t xml:space="preserve"> 2022年度</w:t>
      </w:r>
      <w:r>
        <w:rPr>
          <w:rFonts w:hint="eastAsia"/>
          <w:color w:val="auto"/>
          <w:sz w:val="24"/>
          <w:highlight w:val="none"/>
          <w:lang w:eastAsia="zh-CN"/>
        </w:rPr>
        <w:t>单位</w:t>
      </w:r>
      <w:r>
        <w:rPr>
          <w:rFonts w:hint="eastAsia"/>
          <w:color w:val="auto"/>
          <w:sz w:val="24"/>
          <w:highlight w:val="none"/>
        </w:rPr>
        <w:t>决算情况说明</w:t>
      </w:r>
      <w:r>
        <w:rPr>
          <w:rFonts w:hint="eastAsia" w:ascii="黑体" w:hAnsi="黑体" w:eastAsia="黑体" w:cs="黑体"/>
        </w:rPr>
        <w:tab/>
      </w:r>
      <w:r>
        <w:rPr>
          <w:rFonts w:hint="eastAsia" w:ascii="黑体" w:hAnsi="黑体" w:eastAsia="黑体" w:cs="黑体"/>
          <w:lang w:val="en-US" w:eastAsia="zh-CN"/>
        </w:rPr>
        <w:t>6</w:t>
      </w:r>
    </w:p>
    <w:p>
      <w:pPr>
        <w:pStyle w:val="12"/>
        <w:adjustRightInd w:val="0"/>
        <w:snapToGrid w:val="0"/>
        <w:spacing w:line="440" w:lineRule="exact"/>
        <w:jc w:val="left"/>
        <w:rPr>
          <w:rFonts w:hint="eastAsia" w:ascii="仿宋" w:hAnsi="仿宋" w:eastAsia="黑体" w:cstheme="minorBidi"/>
          <w:color w:val="auto"/>
          <w:sz w:val="24"/>
          <w:highlight w:val="none"/>
          <w:lang w:val="en-US" w:eastAsia="zh-CN"/>
        </w:rPr>
      </w:pPr>
      <w:r>
        <w:rPr>
          <w:rFonts w:hint="eastAsia"/>
          <w:color w:val="auto"/>
          <w:sz w:val="24"/>
          <w:highlight w:val="none"/>
        </w:rPr>
        <w:t>一、收入支出决算总体情况说明</w:t>
      </w:r>
      <w:r>
        <w:rPr>
          <w:rFonts w:hint="eastAsia" w:ascii="黑体" w:hAnsi="黑体" w:eastAsia="黑体" w:cs="黑体"/>
        </w:rPr>
        <w:tab/>
      </w:r>
      <w:r>
        <w:rPr>
          <w:rFonts w:hint="eastAsia" w:ascii="黑体" w:hAnsi="黑体" w:eastAsia="黑体" w:cs="黑体"/>
          <w:lang w:val="en-US" w:eastAsia="zh-CN"/>
        </w:rPr>
        <w:t>6</w:t>
      </w:r>
    </w:p>
    <w:p>
      <w:pPr>
        <w:pStyle w:val="12"/>
        <w:adjustRightInd w:val="0"/>
        <w:snapToGrid w:val="0"/>
        <w:spacing w:line="440" w:lineRule="exact"/>
        <w:jc w:val="left"/>
        <w:rPr>
          <w:rFonts w:hint="eastAsia" w:ascii="仿宋" w:hAnsi="仿宋" w:eastAsia="黑体" w:cstheme="minorBidi"/>
          <w:color w:val="auto"/>
          <w:sz w:val="24"/>
          <w:highlight w:val="none"/>
          <w:lang w:val="en-US" w:eastAsia="zh-CN"/>
        </w:rPr>
      </w:pPr>
      <w:r>
        <w:rPr>
          <w:rFonts w:hint="eastAsia"/>
          <w:color w:val="auto"/>
          <w:sz w:val="24"/>
          <w:highlight w:val="none"/>
        </w:rPr>
        <w:t>二、收入决算情况说明</w:t>
      </w:r>
      <w:r>
        <w:rPr>
          <w:rFonts w:hint="eastAsia" w:ascii="黑体" w:hAnsi="黑体" w:eastAsia="黑体" w:cs="黑体"/>
        </w:rPr>
        <w:tab/>
      </w:r>
      <w:r>
        <w:rPr>
          <w:rFonts w:hint="eastAsia" w:ascii="黑体" w:hAnsi="黑体" w:eastAsia="黑体" w:cs="黑体"/>
          <w:lang w:val="en-US" w:eastAsia="zh-CN"/>
        </w:rPr>
        <w:t>6</w:t>
      </w:r>
    </w:p>
    <w:p>
      <w:pPr>
        <w:pStyle w:val="12"/>
        <w:adjustRightInd w:val="0"/>
        <w:snapToGrid w:val="0"/>
        <w:spacing w:line="440" w:lineRule="exact"/>
        <w:jc w:val="left"/>
        <w:rPr>
          <w:rFonts w:hint="eastAsia" w:ascii="仿宋" w:hAnsi="仿宋" w:eastAsia="黑体" w:cstheme="minorBidi"/>
          <w:color w:val="auto"/>
          <w:sz w:val="24"/>
          <w:highlight w:val="none"/>
          <w:lang w:val="en-US" w:eastAsia="zh-CN"/>
        </w:rPr>
      </w:pPr>
      <w:r>
        <w:rPr>
          <w:rFonts w:hint="eastAsia"/>
          <w:color w:val="auto"/>
          <w:sz w:val="24"/>
          <w:highlight w:val="none"/>
        </w:rPr>
        <w:t>三、支出决算情况说明</w:t>
      </w:r>
      <w:r>
        <w:rPr>
          <w:rFonts w:hint="eastAsia" w:ascii="黑体" w:hAnsi="黑体" w:eastAsia="黑体" w:cs="黑体"/>
        </w:rPr>
        <w:tab/>
      </w:r>
      <w:r>
        <w:rPr>
          <w:rFonts w:hint="eastAsia" w:ascii="黑体" w:hAnsi="黑体" w:eastAsia="黑体" w:cs="黑体"/>
          <w:lang w:val="en-US" w:eastAsia="zh-CN"/>
        </w:rPr>
        <w:t>6</w:t>
      </w:r>
    </w:p>
    <w:p>
      <w:pPr>
        <w:pStyle w:val="12"/>
        <w:adjustRightInd w:val="0"/>
        <w:snapToGrid w:val="0"/>
        <w:spacing w:line="440" w:lineRule="exact"/>
        <w:jc w:val="left"/>
        <w:rPr>
          <w:rFonts w:hint="eastAsia" w:ascii="仿宋" w:hAnsi="仿宋" w:eastAsia="黑体" w:cstheme="minorBidi"/>
          <w:color w:val="auto"/>
          <w:sz w:val="24"/>
          <w:highlight w:val="none"/>
          <w:lang w:val="en-US" w:eastAsia="zh-CN"/>
        </w:rPr>
      </w:pPr>
      <w:r>
        <w:rPr>
          <w:rFonts w:hint="eastAsia"/>
          <w:color w:val="auto"/>
          <w:sz w:val="24"/>
          <w:highlight w:val="none"/>
        </w:rPr>
        <w:t>四、财政拨款收入支出决算总体情况说明</w:t>
      </w:r>
      <w:r>
        <w:rPr>
          <w:rFonts w:hint="eastAsia" w:ascii="黑体" w:hAnsi="黑体" w:eastAsia="黑体" w:cs="黑体"/>
        </w:rPr>
        <w:tab/>
      </w:r>
      <w:r>
        <w:rPr>
          <w:rFonts w:hint="eastAsia" w:ascii="黑体" w:hAnsi="黑体" w:eastAsia="黑体" w:cs="黑体"/>
          <w:lang w:val="en-US" w:eastAsia="zh-CN"/>
        </w:rPr>
        <w:t>7</w:t>
      </w:r>
    </w:p>
    <w:p>
      <w:pPr>
        <w:pStyle w:val="12"/>
        <w:adjustRightInd w:val="0"/>
        <w:snapToGrid w:val="0"/>
        <w:spacing w:line="440" w:lineRule="exact"/>
        <w:jc w:val="left"/>
        <w:rPr>
          <w:rFonts w:hint="eastAsia" w:ascii="仿宋" w:hAnsi="仿宋" w:eastAsia="黑体" w:cstheme="minorBidi"/>
          <w:color w:val="auto"/>
          <w:sz w:val="24"/>
          <w:highlight w:val="none"/>
          <w:lang w:val="en-US" w:eastAsia="zh-CN"/>
        </w:rPr>
      </w:pPr>
      <w:r>
        <w:rPr>
          <w:rFonts w:hint="eastAsia"/>
          <w:color w:val="auto"/>
          <w:sz w:val="24"/>
          <w:highlight w:val="none"/>
        </w:rPr>
        <w:t>五、一般公共预算财政拨款支出决算情况说明</w:t>
      </w:r>
      <w:r>
        <w:rPr>
          <w:rFonts w:hint="eastAsia" w:ascii="黑体" w:hAnsi="黑体" w:eastAsia="黑体" w:cs="黑体"/>
        </w:rPr>
        <w:tab/>
      </w:r>
      <w:r>
        <w:rPr>
          <w:rFonts w:hint="eastAsia" w:ascii="黑体" w:hAnsi="黑体" w:eastAsia="黑体" w:cs="黑体"/>
          <w:lang w:val="en-US" w:eastAsia="zh-CN"/>
        </w:rPr>
        <w:t>8</w:t>
      </w:r>
    </w:p>
    <w:p>
      <w:pPr>
        <w:pStyle w:val="12"/>
        <w:adjustRightInd w:val="0"/>
        <w:snapToGrid w:val="0"/>
        <w:spacing w:line="440" w:lineRule="exact"/>
        <w:jc w:val="left"/>
        <w:rPr>
          <w:rFonts w:hint="default" w:ascii="仿宋" w:hAnsi="仿宋" w:eastAsia="黑体" w:cstheme="minorBidi"/>
          <w:color w:val="auto"/>
          <w:sz w:val="24"/>
          <w:highlight w:val="none"/>
          <w:lang w:val="en-US" w:eastAsia="zh-CN"/>
        </w:rPr>
      </w:pPr>
      <w:r>
        <w:rPr>
          <w:rFonts w:hint="eastAsia"/>
          <w:color w:val="auto"/>
          <w:sz w:val="24"/>
          <w:highlight w:val="none"/>
        </w:rPr>
        <w:t>六、一般公共预算财政拨款基本支出决算情况说明</w:t>
      </w:r>
      <w:r>
        <w:rPr>
          <w:rFonts w:hint="eastAsia" w:ascii="黑体" w:hAnsi="黑体" w:eastAsia="黑体" w:cs="黑体"/>
        </w:rPr>
        <w:tab/>
      </w:r>
      <w:r>
        <w:rPr>
          <w:rFonts w:hint="eastAsia" w:ascii="黑体" w:hAnsi="黑体" w:eastAsia="黑体" w:cs="黑体"/>
          <w:lang w:val="en-US" w:eastAsia="zh-CN"/>
        </w:rPr>
        <w:t>10</w:t>
      </w:r>
    </w:p>
    <w:p>
      <w:pPr>
        <w:pStyle w:val="12"/>
        <w:adjustRightInd w:val="0"/>
        <w:snapToGrid w:val="0"/>
        <w:spacing w:line="440" w:lineRule="exact"/>
        <w:jc w:val="left"/>
        <w:rPr>
          <w:rFonts w:hint="default" w:ascii="仿宋" w:hAnsi="仿宋" w:eastAsia="黑体" w:cstheme="minorBidi"/>
          <w:color w:val="auto"/>
          <w:sz w:val="24"/>
          <w:highlight w:val="none"/>
          <w:lang w:val="en-US" w:eastAsia="zh-CN"/>
        </w:rPr>
      </w:pPr>
      <w:r>
        <w:rPr>
          <w:rFonts w:hint="eastAsia"/>
          <w:color w:val="auto"/>
          <w:sz w:val="24"/>
          <w:highlight w:val="none"/>
        </w:rPr>
        <w:t>七、财政拨款</w:t>
      </w:r>
      <w:r>
        <w:rPr>
          <w:rFonts w:hint="eastAsia"/>
          <w:color w:val="auto"/>
          <w:sz w:val="24"/>
          <w:highlight w:val="none"/>
          <w:lang w:eastAsia="zh-CN"/>
        </w:rPr>
        <w:t>“</w:t>
      </w:r>
      <w:r>
        <w:rPr>
          <w:rFonts w:hint="eastAsia"/>
          <w:color w:val="auto"/>
          <w:sz w:val="24"/>
          <w:highlight w:val="none"/>
        </w:rPr>
        <w:t>三公”经费支出决算情况说明</w:t>
      </w:r>
      <w:r>
        <w:rPr>
          <w:rFonts w:hint="eastAsia" w:ascii="黑体" w:hAnsi="黑体" w:eastAsia="黑体" w:cs="黑体"/>
        </w:rPr>
        <w:tab/>
      </w:r>
      <w:r>
        <w:rPr>
          <w:rFonts w:hint="eastAsia" w:ascii="黑体" w:hAnsi="黑体" w:eastAsia="黑体" w:cs="黑体"/>
          <w:lang w:val="en-US" w:eastAsia="zh-CN"/>
        </w:rPr>
        <w:t>11</w:t>
      </w:r>
    </w:p>
    <w:p>
      <w:pPr>
        <w:pStyle w:val="12"/>
        <w:adjustRightInd w:val="0"/>
        <w:snapToGrid w:val="0"/>
        <w:spacing w:line="440" w:lineRule="exact"/>
        <w:jc w:val="left"/>
        <w:rPr>
          <w:rFonts w:hint="default" w:ascii="仿宋" w:hAnsi="仿宋" w:eastAsia="黑体" w:cstheme="minorBidi"/>
          <w:color w:val="auto"/>
          <w:sz w:val="24"/>
          <w:highlight w:val="none"/>
          <w:lang w:val="en-US" w:eastAsia="zh-CN"/>
        </w:rPr>
      </w:pPr>
      <w:r>
        <w:rPr>
          <w:rFonts w:hint="eastAsia"/>
          <w:color w:val="auto"/>
          <w:sz w:val="24"/>
          <w:highlight w:val="none"/>
        </w:rPr>
        <w:t>八、政府性基金预算支出决算情况说明</w:t>
      </w:r>
      <w:r>
        <w:rPr>
          <w:rFonts w:hint="eastAsia" w:ascii="黑体" w:hAnsi="黑体" w:eastAsia="黑体" w:cs="黑体"/>
        </w:rPr>
        <w:tab/>
      </w:r>
      <w:r>
        <w:rPr>
          <w:rFonts w:hint="eastAsia" w:ascii="黑体" w:hAnsi="黑体" w:eastAsia="黑体" w:cs="黑体"/>
          <w:lang w:val="en-US" w:eastAsia="zh-CN"/>
        </w:rPr>
        <w:t>13</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九、国有资本经营预算支出决算情况说明</w:t>
      </w:r>
      <w:r>
        <w:rPr>
          <w:rFonts w:hint="eastAsia" w:ascii="黑体" w:hAnsi="黑体" w:eastAsia="黑体" w:cs="黑体"/>
        </w:rPr>
        <w:tab/>
      </w:r>
      <w:r>
        <w:rPr>
          <w:rFonts w:hint="eastAsia" w:ascii="黑体" w:hAnsi="黑体" w:eastAsia="黑体" w:cs="黑体"/>
          <w:lang w:val="en-US" w:eastAsia="zh-CN"/>
        </w:rPr>
        <w:t>13</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十、其他重要事项的情况说明</w:t>
      </w:r>
      <w:r>
        <w:rPr>
          <w:rFonts w:hint="eastAsia" w:ascii="黑体" w:hAnsi="黑体" w:eastAsia="黑体" w:cs="黑体"/>
        </w:rPr>
        <w:tab/>
      </w:r>
      <w:r>
        <w:rPr>
          <w:rFonts w:hint="eastAsia" w:ascii="黑体" w:hAnsi="黑体" w:eastAsia="黑体" w:cs="黑体"/>
          <w:lang w:val="en-US" w:eastAsia="zh-CN"/>
        </w:rPr>
        <w:t>13</w:t>
      </w:r>
    </w:p>
    <w:p>
      <w:pPr>
        <w:pStyle w:val="11"/>
        <w:adjustRightInd w:val="0"/>
        <w:snapToGrid w:val="0"/>
        <w:spacing w:before="0" w:line="440" w:lineRule="exact"/>
        <w:jc w:val="left"/>
        <w:rPr>
          <w:rFonts w:hint="default" w:eastAsia="黑体" w:cstheme="minorBidi"/>
          <w:color w:val="auto"/>
          <w:sz w:val="24"/>
          <w:szCs w:val="24"/>
          <w:highlight w:val="none"/>
          <w:lang w:val="en-US" w:eastAsia="zh-CN"/>
        </w:rPr>
      </w:pPr>
      <w:r>
        <w:rPr>
          <w:rFonts w:hint="eastAsia"/>
          <w:color w:val="auto"/>
          <w:sz w:val="24"/>
          <w:highlight w:val="none"/>
        </w:rPr>
        <w:t>第三部分</w:t>
      </w:r>
      <w:r>
        <w:rPr>
          <w:color w:val="auto"/>
          <w:sz w:val="24"/>
          <w:highlight w:val="none"/>
        </w:rPr>
        <w:t xml:space="preserve"> </w:t>
      </w:r>
      <w:r>
        <w:rPr>
          <w:rFonts w:hint="eastAsia"/>
          <w:color w:val="auto"/>
          <w:sz w:val="24"/>
          <w:highlight w:val="none"/>
        </w:rPr>
        <w:t>名词解释</w:t>
      </w:r>
      <w:r>
        <w:rPr>
          <w:rFonts w:hint="eastAsia" w:ascii="黑体" w:hAnsi="黑体" w:eastAsia="黑体" w:cs="黑体"/>
        </w:rPr>
        <w:tab/>
      </w:r>
      <w:r>
        <w:rPr>
          <w:rFonts w:hint="eastAsia" w:ascii="黑体" w:hAnsi="黑体" w:eastAsia="黑体" w:cs="黑体"/>
          <w:lang w:val="en-US" w:eastAsia="zh-CN"/>
        </w:rPr>
        <w:t>15</w:t>
      </w:r>
    </w:p>
    <w:p>
      <w:pPr>
        <w:pStyle w:val="11"/>
        <w:adjustRightInd w:val="0"/>
        <w:snapToGrid w:val="0"/>
        <w:spacing w:before="0" w:line="440" w:lineRule="exact"/>
        <w:jc w:val="left"/>
        <w:rPr>
          <w:rFonts w:hint="default" w:eastAsia="黑体" w:cstheme="minorBidi"/>
          <w:color w:val="auto"/>
          <w:sz w:val="24"/>
          <w:szCs w:val="24"/>
          <w:highlight w:val="none"/>
          <w:lang w:val="en-US" w:eastAsia="zh-CN"/>
        </w:rPr>
      </w:pPr>
      <w:r>
        <w:rPr>
          <w:rFonts w:hint="eastAsia"/>
          <w:color w:val="auto"/>
          <w:sz w:val="24"/>
          <w:highlight w:val="none"/>
        </w:rPr>
        <w:t>第四部分</w:t>
      </w:r>
      <w:r>
        <w:rPr>
          <w:color w:val="auto"/>
          <w:sz w:val="24"/>
          <w:highlight w:val="none"/>
        </w:rPr>
        <w:t xml:space="preserve"> </w:t>
      </w:r>
      <w:r>
        <w:rPr>
          <w:rFonts w:hint="eastAsia"/>
          <w:color w:val="auto"/>
          <w:sz w:val="24"/>
          <w:highlight w:val="none"/>
        </w:rPr>
        <w:t>附件</w:t>
      </w:r>
      <w:r>
        <w:rPr>
          <w:rFonts w:hint="eastAsia" w:ascii="黑体" w:hAnsi="黑体" w:eastAsia="黑体" w:cs="黑体"/>
        </w:rPr>
        <w:tab/>
      </w:r>
      <w:r>
        <w:rPr>
          <w:rFonts w:hint="eastAsia" w:ascii="黑体" w:hAnsi="黑体" w:eastAsia="黑体" w:cs="黑体"/>
          <w:lang w:val="en-US" w:eastAsia="zh-CN"/>
        </w:rPr>
        <w:t>18</w:t>
      </w:r>
    </w:p>
    <w:p>
      <w:pPr>
        <w:pStyle w:val="11"/>
        <w:adjustRightInd w:val="0"/>
        <w:snapToGrid w:val="0"/>
        <w:spacing w:before="0" w:line="440" w:lineRule="exact"/>
        <w:jc w:val="left"/>
        <w:rPr>
          <w:rFonts w:hint="default" w:eastAsia="黑体" w:cstheme="minorBidi"/>
          <w:color w:val="auto"/>
          <w:sz w:val="24"/>
          <w:szCs w:val="24"/>
          <w:highlight w:val="none"/>
          <w:lang w:val="en-US" w:eastAsia="zh-CN"/>
        </w:rPr>
      </w:pPr>
      <w:r>
        <w:rPr>
          <w:rFonts w:hint="eastAsia"/>
          <w:color w:val="auto"/>
          <w:sz w:val="24"/>
          <w:highlight w:val="none"/>
        </w:rPr>
        <w:t>第五部分</w:t>
      </w:r>
      <w:r>
        <w:rPr>
          <w:color w:val="auto"/>
          <w:sz w:val="24"/>
          <w:highlight w:val="none"/>
        </w:rPr>
        <w:t xml:space="preserve"> </w:t>
      </w:r>
      <w:r>
        <w:rPr>
          <w:rFonts w:hint="eastAsia"/>
          <w:color w:val="auto"/>
          <w:sz w:val="24"/>
          <w:highlight w:val="none"/>
        </w:rPr>
        <w:t>附表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一、收入支出决算总表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二、收入决算表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三、支出决算表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四、财政拨款收入支出决算总表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五、财政拨款支出决算明细表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六、一般公共预算财政拨款支出决算表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七、一般公共预算财政拨款支出决算明细表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八、一般公共预算财政拨款基本支出决算</w:t>
      </w:r>
      <w:r>
        <w:rPr>
          <w:rFonts w:hint="eastAsia"/>
          <w:color w:val="auto"/>
          <w:sz w:val="24"/>
          <w:highlight w:val="none"/>
          <w:lang w:eastAsia="zh-CN"/>
        </w:rPr>
        <w:t>明细</w:t>
      </w:r>
      <w:r>
        <w:rPr>
          <w:rFonts w:hint="eastAsia"/>
          <w:color w:val="auto"/>
          <w:sz w:val="24"/>
          <w:highlight w:val="none"/>
        </w:rPr>
        <w:t>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九、一般公共预算财政拨款项目支出决算表</w:t>
      </w:r>
      <w:r>
        <w:rPr>
          <w:rFonts w:hint="eastAsia" w:ascii="黑体" w:hAnsi="黑体" w:eastAsia="黑体" w:cs="黑体"/>
        </w:rPr>
        <w:tab/>
      </w:r>
      <w:bookmarkStart w:id="67" w:name="_GoBack"/>
      <w:bookmarkEnd w:id="67"/>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十、政府性基金预算财政拨款收入支出决算表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十一、国有资本经营预算财政拨款收入支出决算表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十二、</w:t>
      </w:r>
      <w:r>
        <w:rPr>
          <w:rFonts w:hint="eastAsia"/>
          <w:color w:val="auto"/>
          <w:sz w:val="24"/>
          <w:highlight w:val="none"/>
          <w:lang w:val="en-US" w:eastAsia="zh-CN"/>
        </w:rPr>
        <w:t>国有资本经营预算财政拨款支出决算表</w:t>
      </w:r>
      <w:r>
        <w:rPr>
          <w:rFonts w:hint="eastAsia" w:ascii="黑体" w:hAnsi="黑体" w:eastAsia="黑体" w:cs="黑体"/>
        </w:rPr>
        <w:tab/>
      </w:r>
      <w:r>
        <w:rPr>
          <w:rFonts w:hint="eastAsia" w:ascii="黑体" w:hAnsi="黑体" w:eastAsia="黑体" w:cs="黑体"/>
          <w:lang w:val="en-US" w:eastAsia="zh-CN"/>
        </w:rPr>
        <w:t>38</w:t>
      </w:r>
    </w:p>
    <w:p>
      <w:pPr>
        <w:pStyle w:val="12"/>
        <w:adjustRightInd w:val="0"/>
        <w:snapToGrid w:val="0"/>
        <w:spacing w:line="440" w:lineRule="exact"/>
        <w:jc w:val="left"/>
        <w:rPr>
          <w:rFonts w:hint="default" w:eastAsia="黑体"/>
          <w:color w:val="auto"/>
          <w:sz w:val="24"/>
          <w:highlight w:val="none"/>
          <w:lang w:val="en-US" w:eastAsia="zh-CN"/>
        </w:rPr>
      </w:pPr>
      <w:r>
        <w:rPr>
          <w:rFonts w:hint="eastAsia"/>
          <w:color w:val="auto"/>
          <w:sz w:val="24"/>
          <w:highlight w:val="none"/>
        </w:rPr>
        <w:t>十三、财政拨款“三公”经费支出决算表</w:t>
      </w:r>
      <w:r>
        <w:rPr>
          <w:rFonts w:hint="eastAsia" w:ascii="黑体" w:hAnsi="黑体" w:eastAsia="黑体" w:cs="黑体"/>
        </w:rPr>
        <w:tab/>
      </w:r>
      <w:r>
        <w:rPr>
          <w:rFonts w:hint="eastAsia" w:ascii="黑体" w:hAnsi="黑体" w:eastAsia="黑体" w:cs="黑体"/>
          <w:lang w:val="en-US" w:eastAsia="zh-CN"/>
        </w:rPr>
        <w:t>38</w:t>
      </w:r>
    </w:p>
    <w:p>
      <w:pPr>
        <w:widowControl/>
        <w:spacing w:line="440" w:lineRule="exact"/>
        <w:jc w:val="left"/>
        <w:rPr>
          <w:rFonts w:ascii="仿宋" w:hAnsi="仿宋" w:eastAsia="仿宋"/>
          <w:bCs/>
          <w:color w:val="auto"/>
          <w:kern w:val="44"/>
          <w:sz w:val="24"/>
          <w:highlight w:val="none"/>
        </w:rPr>
      </w:pPr>
      <w:bookmarkStart w:id="12" w:name="_Toc15377196"/>
      <w:bookmarkStart w:id="13" w:name="_Toc15396599"/>
      <w:r>
        <w:rPr>
          <w:rFonts w:ascii="仿宋" w:hAnsi="仿宋" w:eastAsia="仿宋"/>
          <w:b/>
          <w:color w:val="auto"/>
          <w:sz w:val="24"/>
          <w:highlight w:val="none"/>
        </w:rPr>
        <w:br w:type="page"/>
      </w:r>
    </w:p>
    <w:p>
      <w:pPr>
        <w:pStyle w:val="3"/>
        <w:jc w:val="center"/>
        <w:rPr>
          <w:rFonts w:ascii="黑体" w:eastAsia="黑体"/>
          <w:color w:val="auto"/>
          <w:sz w:val="32"/>
          <w:szCs w:val="32"/>
          <w:highlight w:val="none"/>
        </w:rPr>
      </w:pPr>
      <w:r>
        <w:rPr>
          <w:rFonts w:hint="eastAsia" w:ascii="黑体" w:hAnsi="黑体" w:eastAsia="黑体"/>
          <w:b w:val="0"/>
          <w:color w:val="auto"/>
          <w:highlight w:val="none"/>
        </w:rPr>
        <w:t xml:space="preserve">第一部分 </w:t>
      </w:r>
      <w:r>
        <w:rPr>
          <w:rFonts w:hint="eastAsia" w:ascii="黑体" w:hAnsi="黑体" w:eastAsia="黑体"/>
          <w:b w:val="0"/>
          <w:color w:val="auto"/>
          <w:highlight w:val="none"/>
          <w:lang w:eastAsia="zh-CN"/>
        </w:rPr>
        <w:t>单位</w:t>
      </w:r>
      <w:r>
        <w:rPr>
          <w:rStyle w:val="25"/>
          <w:rFonts w:hint="eastAsia" w:ascii="黑体" w:hAnsi="黑体" w:eastAsia="黑体"/>
          <w:b w:val="0"/>
          <w:bCs w:val="0"/>
          <w:color w:val="auto"/>
          <w:highlight w:val="none"/>
        </w:rPr>
        <w:t>概况</w:t>
      </w:r>
      <w:bookmarkEnd w:id="12"/>
      <w:bookmarkEnd w:id="13"/>
    </w:p>
    <w:p>
      <w:pPr>
        <w:pStyle w:val="4"/>
        <w:pageBreakBefore w:val="0"/>
        <w:widowControl w:val="0"/>
        <w:numPr>
          <w:ilvl w:val="0"/>
          <w:numId w:val="1"/>
        </w:numPr>
        <w:kinsoku/>
        <w:wordWrap/>
        <w:overflowPunct/>
        <w:topLinePunct w:val="0"/>
        <w:bidi w:val="0"/>
        <w:snapToGrid/>
        <w:spacing w:line="550" w:lineRule="exact"/>
        <w:textAlignment w:val="auto"/>
        <w:rPr>
          <w:rStyle w:val="26"/>
          <w:rFonts w:hint="eastAsia" w:ascii="黑体" w:hAnsi="黑体" w:eastAsia="黑体"/>
          <w:b w:val="0"/>
          <w:bCs w:val="0"/>
          <w:color w:val="auto"/>
          <w:highlight w:val="none"/>
          <w:lang w:eastAsia="zh-CN"/>
        </w:rPr>
      </w:pPr>
      <w:bookmarkStart w:id="14" w:name="_Toc15396600"/>
      <w:bookmarkStart w:id="15" w:name="_Toc15377197"/>
      <w:r>
        <w:rPr>
          <w:rStyle w:val="26"/>
          <w:rFonts w:hint="eastAsia" w:ascii="黑体" w:hAnsi="黑体" w:eastAsia="黑体"/>
          <w:b w:val="0"/>
          <w:bCs w:val="0"/>
          <w:color w:val="auto"/>
          <w:highlight w:val="none"/>
          <w:lang w:eastAsia="zh-CN"/>
        </w:rPr>
        <w:t>主要职责</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一是负责党的纪律检查工作。贯彻落实党中央关于纪律检查工作的决定，维护党的章程和其他党内法规，检查党的路线方针政策和决议的执行情况，协助市委推进全面从严治党、加强党风建设和组织协调反腐败工作。</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二是依照党的章程和其他党内法规履行监督、执纪、问责职责。负责经常对党员进行遵守纪律的教育，作出关于维护党纪的决定。对市委工作机关、市委批准设立的党组织（党委），各县（区）党委、纪委等党的组织和市委管理的党员领导干部履行职责、行使权力进行监督，受理处置党员群众检举举报，开展谈话提醒、约谈函询。检查和处理上述党的组织和党员违反党的章程和其他党内法规的比较重要或者复杂的案件，决定或者取消对这些案件中的党员的处分。进行问责或者提出责任追究的建议。受理党员的控告和申诉。保障党员的权利。</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三是负责全市监察工作。贯彻落实党中央关于监察工作的决定，维护宪法法律，依法对市委管理的行使公权力的公职人员进行监察，调查职务违法和职务犯罪，开展廉政建设和反腐败工作。</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四是依照法律规定履行监督、调查、处置职责。推动开展廉政教育，对市委管理的行使公权力的公职人员依法履职、秉公用权、廉洁从政从业以及道德操守情况进行监督检查。对涉嫌贪污贿赂、滥用职权、玩忽职守、权力寻租、利益输送、徇私舞弊以及浪费国家资财等职务违法和职务犯罪进行调查。对违法的公职人员依法作出政务处分决定。对履行职责不力、失职失责的领导人员进行问责。对涉嫌职务犯罪的，将调查结果移送人民检察院依法审查、提起公诉。向监察对象所在单位提出监察建议。</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五是负责组织协调全面从严治党、党风廉政建设和反腐败宣传教育工作。</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六是负责综合分析全面从严治党、党风廉政建设和反腐败工作情况，对纪检监察工作重要理论及实践问题进行调查研究。制定或者修改全市纪检监察规范性文件，参与起草制定相关法规和规范性文件。</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七是在省纪委监委的领导下，加强对反腐败国际追逃追赃和防逃工作的组织协调，督促有关单位做好相关工作。</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八是根据干部管理权限，负责纪检监察系统领导班子建设、干部队伍建设和组织建设的综合规划、政策研究、制度建设和业务指导。会同有关方面做好市纪委监委派驻（出）机构、县（区）纪委监委机关、市管企业和市属学校医院等事业单位纪检监察机构领导班子建设有关工作。组织和指导全市纪检监察系统教育培训工作等。</w:t>
      </w:r>
    </w:p>
    <w:p>
      <w:pPr>
        <w:pageBreakBefore w:val="0"/>
        <w:widowControl w:val="0"/>
        <w:kinsoku/>
        <w:wordWrap/>
        <w:overflowPunct/>
        <w:topLinePunct w:val="0"/>
        <w:bidi w:val="0"/>
        <w:snapToGrid/>
        <w:spacing w:line="550" w:lineRule="exact"/>
        <w:textAlignment w:val="auto"/>
        <w:rPr>
          <w:rFonts w:hint="eastAsia"/>
          <w:lang w:eastAsia="zh-CN"/>
        </w:rPr>
      </w:pPr>
      <w:r>
        <w:rPr>
          <w:rFonts w:hint="eastAsia" w:ascii="仿宋_GB2312" w:hAnsi="Times New Roman" w:eastAsia="仿宋_GB2312" w:cs="Times New Roman"/>
          <w:color w:val="000000"/>
          <w:kern w:val="2"/>
          <w:sz w:val="32"/>
          <w:szCs w:val="32"/>
          <w:lang w:val="en-US" w:eastAsia="zh-CN" w:bidi="ar-SA"/>
        </w:rPr>
        <w:t>九是完成市委和省纪委监委交办的其他任务。</w:t>
      </w:r>
    </w:p>
    <w:p>
      <w:pPr>
        <w:pStyle w:val="4"/>
        <w:pageBreakBefore w:val="0"/>
        <w:widowControl w:val="0"/>
        <w:numPr>
          <w:ilvl w:val="0"/>
          <w:numId w:val="0"/>
        </w:numPr>
        <w:kinsoku/>
        <w:wordWrap/>
        <w:overflowPunct/>
        <w:topLinePunct w:val="0"/>
        <w:bidi w:val="0"/>
        <w:snapToGrid/>
        <w:spacing w:line="550" w:lineRule="exact"/>
        <w:textAlignment w:val="auto"/>
        <w:rPr>
          <w:rFonts w:hint="eastAsia" w:ascii="黑体" w:hAnsi="黑体" w:eastAsia="黑体"/>
          <w:b w:val="0"/>
          <w:color w:val="auto"/>
          <w:highlight w:val="none"/>
          <w:lang w:val="en-US" w:eastAsia="zh-CN"/>
        </w:rPr>
      </w:pPr>
      <w:r>
        <w:rPr>
          <w:rFonts w:hint="eastAsia" w:ascii="黑体" w:hAnsi="黑体" w:eastAsia="黑体"/>
          <w:b w:val="0"/>
          <w:color w:val="auto"/>
          <w:highlight w:val="none"/>
          <w:lang w:val="en-US" w:eastAsia="zh-CN"/>
        </w:rPr>
        <w:t>二、机构设置</w:t>
      </w:r>
    </w:p>
    <w:p>
      <w:pPr>
        <w:pStyle w:val="23"/>
        <w:pageBreakBefore w:val="0"/>
        <w:widowControl w:val="0"/>
        <w:kinsoku/>
        <w:wordWrap/>
        <w:overflowPunct/>
        <w:topLinePunct w:val="0"/>
        <w:bidi w:val="0"/>
        <w:snapToGrid/>
        <w:spacing w:line="550" w:lineRule="exact"/>
        <w:ind w:firstLine="640" w:firstLineChars="200"/>
        <w:textAlignment w:val="auto"/>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中共广元市纪律检查委员会（本级）为中共广元市纪律检查委员会下属二级行政单位。</w:t>
      </w:r>
    </w:p>
    <w:bookmarkEnd w:id="14"/>
    <w:bookmarkEnd w:id="15"/>
    <w:p>
      <w:pPr>
        <w:widowControl/>
        <w:jc w:val="left"/>
        <w:rPr>
          <w:rFonts w:ascii="仿宋" w:hAnsi="仿宋" w:eastAsia="仿宋"/>
          <w:color w:val="auto"/>
          <w:kern w:val="0"/>
          <w:sz w:val="32"/>
          <w:szCs w:val="32"/>
          <w:highlight w:val="none"/>
        </w:rPr>
      </w:pPr>
      <w:r>
        <w:rPr>
          <w:rFonts w:ascii="仿宋" w:hAnsi="仿宋" w:eastAsia="仿宋"/>
          <w:color w:val="auto"/>
          <w:sz w:val="32"/>
          <w:szCs w:val="32"/>
          <w:highlight w:val="none"/>
        </w:rPr>
        <w:br w:type="page"/>
      </w:r>
    </w:p>
    <w:p>
      <w:pPr>
        <w:pStyle w:val="3"/>
        <w:ind w:right="440"/>
        <w:jc w:val="center"/>
        <w:rPr>
          <w:color w:val="auto"/>
          <w:highlight w:val="none"/>
        </w:rPr>
      </w:pPr>
      <w:bookmarkStart w:id="16" w:name="_Toc15377204"/>
      <w:bookmarkStart w:id="17" w:name="_Toc15396602"/>
      <w:r>
        <w:rPr>
          <w:rFonts w:hint="eastAsia" w:ascii="黑体" w:hAnsi="黑体" w:eastAsia="黑体"/>
          <w:b w:val="0"/>
          <w:bCs/>
          <w:color w:val="auto"/>
          <w:highlight w:val="none"/>
        </w:rPr>
        <w:t xml:space="preserve">第二部分 </w:t>
      </w:r>
      <w:r>
        <w:rPr>
          <w:rFonts w:hint="eastAsia" w:ascii="黑体" w:hAnsi="黑体" w:eastAsia="黑体"/>
          <w:b w:val="0"/>
          <w:bCs/>
          <w:color w:val="auto"/>
          <w:highlight w:val="none"/>
          <w:lang w:val="en-US" w:eastAsia="zh-CN"/>
        </w:rPr>
        <w:t>2022年度</w:t>
      </w:r>
      <w:r>
        <w:rPr>
          <w:rStyle w:val="25"/>
          <w:rFonts w:hint="eastAsia" w:ascii="黑体" w:hAnsi="黑体" w:eastAsia="黑体"/>
          <w:b w:val="0"/>
          <w:bCs/>
          <w:color w:val="auto"/>
          <w:highlight w:val="none"/>
          <w:lang w:eastAsia="zh-CN"/>
        </w:rPr>
        <w:t>单位</w:t>
      </w:r>
      <w:r>
        <w:rPr>
          <w:rStyle w:val="25"/>
          <w:rFonts w:hint="eastAsia" w:ascii="黑体" w:hAnsi="黑体" w:eastAsia="黑体"/>
          <w:b w:val="0"/>
          <w:bCs/>
          <w:color w:val="auto"/>
          <w:highlight w:val="none"/>
        </w:rPr>
        <w:t>决算情况说明</w:t>
      </w:r>
      <w:bookmarkEnd w:id="16"/>
      <w:bookmarkEnd w:id="17"/>
    </w:p>
    <w:p>
      <w:pPr>
        <w:pStyle w:val="24"/>
        <w:numPr>
          <w:ilvl w:val="0"/>
          <w:numId w:val="2"/>
        </w:numPr>
        <w:spacing w:line="600" w:lineRule="exact"/>
        <w:ind w:firstLineChars="0"/>
        <w:outlineLvl w:val="1"/>
        <w:rPr>
          <w:rStyle w:val="26"/>
          <w:rFonts w:ascii="黑体" w:hAnsi="黑体" w:eastAsia="黑体"/>
          <w:b w:val="0"/>
          <w:color w:val="auto"/>
          <w:highlight w:val="none"/>
        </w:rPr>
      </w:pPr>
      <w:bookmarkStart w:id="18" w:name="_Toc15396603"/>
      <w:bookmarkStart w:id="19" w:name="_Toc15377205"/>
      <w:r>
        <w:rPr>
          <w:rFonts w:hint="eastAsia" w:ascii="黑体" w:hAnsi="黑体" w:eastAsia="黑体"/>
          <w:color w:val="auto"/>
          <w:sz w:val="32"/>
          <w:szCs w:val="32"/>
          <w:highlight w:val="none"/>
        </w:rPr>
        <w:t>收</w:t>
      </w:r>
      <w:r>
        <w:rPr>
          <w:rStyle w:val="26"/>
          <w:rFonts w:hint="eastAsia" w:ascii="黑体" w:hAnsi="黑体" w:eastAsia="黑体"/>
          <w:b w:val="0"/>
          <w:color w:val="auto"/>
          <w:highlight w:val="none"/>
        </w:rPr>
        <w:t>入支出决算总体情况说明</w:t>
      </w:r>
      <w:bookmarkEnd w:id="18"/>
      <w:bookmarkEnd w:id="19"/>
    </w:p>
    <w:p>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年度收、支总计</w:t>
      </w:r>
      <w:r>
        <w:rPr>
          <w:rFonts w:hint="eastAsia" w:ascii="仿宋_GB2312" w:hAnsi="仿宋_GB2312" w:eastAsia="仿宋_GB2312" w:cs="仿宋_GB2312"/>
          <w:color w:val="auto"/>
          <w:sz w:val="32"/>
          <w:szCs w:val="32"/>
          <w:highlight w:val="none"/>
          <w:lang w:val="en-US" w:eastAsia="zh-CN"/>
        </w:rPr>
        <w:t>4455.99</w:t>
      </w:r>
      <w:r>
        <w:rPr>
          <w:rFonts w:hint="eastAsia" w:ascii="仿宋_GB2312" w:hAnsi="仿宋_GB2312" w:eastAsia="仿宋_GB2312" w:cs="仿宋_GB2312"/>
          <w:color w:val="auto"/>
          <w:sz w:val="32"/>
          <w:szCs w:val="32"/>
          <w:highlight w:val="none"/>
        </w:rPr>
        <w:t>万元。与20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年相比，收、支总计各减少</w:t>
      </w:r>
      <w:r>
        <w:rPr>
          <w:rFonts w:hint="eastAsia" w:ascii="仿宋_GB2312" w:hAnsi="仿宋_GB2312" w:eastAsia="仿宋_GB2312" w:cs="仿宋_GB2312"/>
          <w:color w:val="auto"/>
          <w:sz w:val="32"/>
          <w:szCs w:val="32"/>
          <w:highlight w:val="none"/>
          <w:lang w:val="en-US" w:eastAsia="zh-CN"/>
        </w:rPr>
        <w:t>601.22</w:t>
      </w:r>
      <w:r>
        <w:rPr>
          <w:rFonts w:hint="eastAsia" w:ascii="仿宋_GB2312" w:hAnsi="仿宋_GB2312" w:eastAsia="仿宋_GB2312" w:cs="仿宋_GB2312"/>
          <w:color w:val="auto"/>
          <w:sz w:val="32"/>
          <w:szCs w:val="32"/>
          <w:highlight w:val="none"/>
        </w:rPr>
        <w:t>万元，下降</w:t>
      </w:r>
      <w:r>
        <w:rPr>
          <w:rFonts w:hint="eastAsia" w:ascii="仿宋_GB2312" w:hAnsi="仿宋_GB2312" w:eastAsia="仿宋_GB2312" w:cs="仿宋_GB2312"/>
          <w:color w:val="auto"/>
          <w:sz w:val="32"/>
          <w:szCs w:val="32"/>
          <w:highlight w:val="none"/>
          <w:lang w:val="en-US" w:eastAsia="zh-CN"/>
        </w:rPr>
        <w:t>11.89</w:t>
      </w:r>
      <w:r>
        <w:rPr>
          <w:rFonts w:hint="eastAsia" w:ascii="仿宋_GB2312" w:hAnsi="仿宋_GB2312" w:eastAsia="仿宋_GB2312" w:cs="仿宋_GB2312"/>
          <w:color w:val="auto"/>
          <w:sz w:val="32"/>
          <w:szCs w:val="32"/>
          <w:highlight w:val="none"/>
        </w:rPr>
        <w:t>%。主要变动原因是</w:t>
      </w:r>
      <w:r>
        <w:rPr>
          <w:rFonts w:hint="eastAsia" w:ascii="仿宋_GB2312" w:hAnsi="仿宋_GB2312" w:eastAsia="仿宋_GB2312" w:cs="仿宋_GB2312"/>
          <w:color w:val="000000"/>
          <w:kern w:val="2"/>
          <w:sz w:val="32"/>
          <w:szCs w:val="32"/>
          <w:lang w:val="en-US" w:eastAsia="zh-CN" w:bidi="ar-SA"/>
        </w:rPr>
        <w:t>纪委监委业务用房及办公场所维修改造项目资金较2021年减少542.96万元</w:t>
      </w:r>
      <w:r>
        <w:rPr>
          <w:rFonts w:hint="eastAsia" w:ascii="仿宋_GB2312" w:hAnsi="仿宋_GB2312" w:eastAsia="仿宋_GB2312" w:cs="仿宋_GB2312"/>
          <w:color w:val="auto"/>
          <w:sz w:val="32"/>
          <w:szCs w:val="32"/>
          <w:highlight w:val="none"/>
          <w:lang w:eastAsia="zh-CN"/>
        </w:rPr>
        <w:t>。</w:t>
      </w:r>
    </w:p>
    <w:p>
      <w:pPr>
        <w:pStyle w:val="6"/>
        <w:rPr>
          <w:rFonts w:hint="eastAsia"/>
          <w:lang w:eastAsia="zh-CN"/>
        </w:rPr>
      </w:pPr>
      <w:r>
        <w:rPr>
          <w:rFonts w:hint="eastAsia" w:eastAsia="仿宋_GB2312"/>
          <w:lang w:eastAsia="zh-CN"/>
        </w:rPr>
        <w:drawing>
          <wp:inline distT="0" distB="0" distL="114300" distR="114300">
            <wp:extent cx="4860290" cy="2371090"/>
            <wp:effectExtent l="4445" t="4445" r="12065" b="571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spacing w:line="600" w:lineRule="exact"/>
        <w:ind w:firstLine="640" w:firstLineChars="200"/>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（图1：收、支决算总计变动情况图）（柱状图）</w:t>
      </w:r>
    </w:p>
    <w:p>
      <w:pPr>
        <w:pStyle w:val="24"/>
        <w:numPr>
          <w:ilvl w:val="0"/>
          <w:numId w:val="2"/>
        </w:numPr>
        <w:spacing w:line="600" w:lineRule="exact"/>
        <w:ind w:firstLineChars="0"/>
        <w:outlineLvl w:val="1"/>
        <w:rPr>
          <w:rStyle w:val="26"/>
          <w:rFonts w:ascii="黑体" w:hAnsi="黑体" w:eastAsia="黑体"/>
          <w:b w:val="0"/>
          <w:color w:val="auto"/>
          <w:highlight w:val="none"/>
        </w:rPr>
      </w:pPr>
      <w:bookmarkStart w:id="20" w:name="_Toc15396604"/>
      <w:bookmarkStart w:id="21" w:name="_Toc15377206"/>
      <w:r>
        <w:rPr>
          <w:rFonts w:hint="eastAsia" w:ascii="黑体" w:hAnsi="黑体" w:eastAsia="黑体"/>
          <w:color w:val="auto"/>
          <w:sz w:val="32"/>
          <w:szCs w:val="32"/>
          <w:highlight w:val="none"/>
        </w:rPr>
        <w:t>收</w:t>
      </w:r>
      <w:r>
        <w:rPr>
          <w:rStyle w:val="26"/>
          <w:rFonts w:hint="eastAsia" w:ascii="黑体" w:hAnsi="黑体" w:eastAsia="黑体"/>
          <w:b w:val="0"/>
          <w:color w:val="auto"/>
          <w:highlight w:val="none"/>
        </w:rPr>
        <w:t>入决算情况说明</w:t>
      </w:r>
      <w:bookmarkEnd w:id="20"/>
      <w:bookmarkEnd w:id="21"/>
    </w:p>
    <w:p>
      <w:pPr>
        <w:spacing w:line="600" w:lineRule="exact"/>
        <w:ind w:firstLine="640" w:firstLineChars="200"/>
        <w:outlineLvl w:val="1"/>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年本年收入合计</w:t>
      </w:r>
      <w:r>
        <w:rPr>
          <w:rFonts w:hint="eastAsia" w:ascii="仿宋_GB2312" w:hAnsi="仿宋_GB2312" w:eastAsia="仿宋_GB2312" w:cs="仿宋_GB2312"/>
          <w:color w:val="auto"/>
          <w:sz w:val="32"/>
          <w:szCs w:val="32"/>
          <w:highlight w:val="none"/>
          <w:lang w:val="en-US" w:eastAsia="zh-CN"/>
        </w:rPr>
        <w:t>4062.67</w:t>
      </w:r>
      <w:r>
        <w:rPr>
          <w:rFonts w:hint="eastAsia" w:ascii="仿宋_GB2312" w:hAnsi="仿宋_GB2312" w:eastAsia="仿宋_GB2312" w:cs="仿宋_GB2312"/>
          <w:color w:val="auto"/>
          <w:sz w:val="32"/>
          <w:szCs w:val="32"/>
          <w:highlight w:val="none"/>
        </w:rPr>
        <w:t>万元，其中：一般公共预算财政拨款收入</w:t>
      </w:r>
      <w:r>
        <w:rPr>
          <w:rFonts w:hint="eastAsia" w:ascii="仿宋_GB2312" w:hAnsi="仿宋_GB2312" w:eastAsia="仿宋_GB2312" w:cs="仿宋_GB2312"/>
          <w:color w:val="auto"/>
          <w:sz w:val="32"/>
          <w:szCs w:val="32"/>
          <w:highlight w:val="none"/>
          <w:lang w:val="en-US" w:eastAsia="zh-CN"/>
        </w:rPr>
        <w:t>4062.67</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Style w:val="6"/>
        <w:rPr>
          <w:rFonts w:hint="eastAsia" w:ascii="仿宋_GB2312" w:hAnsi="仿宋_GB2312" w:eastAsia="仿宋_GB2312" w:cs="仿宋_GB2312"/>
          <w:color w:val="auto"/>
          <w:sz w:val="32"/>
          <w:szCs w:val="32"/>
          <w:highlight w:val="none"/>
          <w:lang w:eastAsia="zh-CN"/>
        </w:rPr>
      </w:pPr>
      <w:r>
        <w:rPr>
          <w:rFonts w:hint="eastAsia"/>
        </w:rPr>
        <w:pict>
          <v:shape id="_x0000_s1026" o:spid="_x0000_s1026" o:spt="75" alt="olechartimg_1630568690598459_425428992" type="#_x0000_t75" style="position:absolute;left:0pt;margin-left:53.25pt;margin-top:5.85pt;height:110.55pt;width:294.35pt;z-index:251658240;mso-width-relative:page;mso-height-relative:page;" o:ole="t" filled="f" o:preferrelative="t" stroked="f" coordsize="21600,21600">
            <v:path/>
            <v:fill on="f" focussize="0,0"/>
            <v:stroke on="f"/>
            <v:imagedata r:id="rId8" o:title="olechartimg_1695777866542243_234599424"/>
            <o:lock v:ext="edit" aspectratio="t"/>
          </v:shape>
          <o:OLEObject Type="Embed" ProgID="Excel.Chart.8" ShapeID="_x0000_s1026" DrawAspect="Content" ObjectID="_1468075725" r:id="rId7">
            <o:LockedField>false</o:LockedField>
          </o:OLEObject>
        </w:pict>
      </w:r>
    </w:p>
    <w:p>
      <w:pPr>
        <w:pStyle w:val="6"/>
        <w:rPr>
          <w:rFonts w:hint="eastAsia" w:ascii="仿宋_GB2312" w:hAnsi="仿宋_GB2312" w:eastAsia="仿宋_GB2312" w:cs="仿宋_GB2312"/>
          <w:color w:val="auto"/>
          <w:sz w:val="32"/>
          <w:szCs w:val="32"/>
          <w:highlight w:val="none"/>
          <w:lang w:eastAsia="zh-CN"/>
        </w:rPr>
      </w:pPr>
    </w:p>
    <w:p>
      <w:pPr>
        <w:pStyle w:val="6"/>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（图2：收入决算结构图）（饼状图）</w:t>
      </w:r>
    </w:p>
    <w:p>
      <w:pPr>
        <w:pStyle w:val="24"/>
        <w:keepNext w:val="0"/>
        <w:keepLines w:val="0"/>
        <w:pageBreakBefore w:val="0"/>
        <w:widowControl w:val="0"/>
        <w:numPr>
          <w:ilvl w:val="0"/>
          <w:numId w:val="2"/>
        </w:numPr>
        <w:kinsoku/>
        <w:wordWrap/>
        <w:overflowPunct/>
        <w:topLinePunct w:val="0"/>
        <w:autoSpaceDE/>
        <w:autoSpaceDN/>
        <w:bidi w:val="0"/>
        <w:adjustRightInd/>
        <w:snapToGrid/>
        <w:spacing w:line="550" w:lineRule="exact"/>
        <w:ind w:firstLineChars="0"/>
        <w:textAlignment w:val="auto"/>
        <w:outlineLvl w:val="1"/>
        <w:rPr>
          <w:rStyle w:val="26"/>
          <w:rFonts w:ascii="黑体" w:hAnsi="黑体" w:eastAsia="黑体"/>
          <w:b w:val="0"/>
          <w:color w:val="auto"/>
          <w:highlight w:val="none"/>
        </w:rPr>
      </w:pPr>
      <w:bookmarkStart w:id="22" w:name="_Toc15377207"/>
      <w:bookmarkStart w:id="23" w:name="_Toc15396605"/>
      <w:r>
        <w:rPr>
          <w:rFonts w:hint="eastAsia" w:ascii="黑体" w:hAnsi="黑体" w:eastAsia="黑体"/>
          <w:color w:val="auto"/>
          <w:sz w:val="32"/>
          <w:szCs w:val="32"/>
          <w:highlight w:val="none"/>
        </w:rPr>
        <w:t>支</w:t>
      </w:r>
      <w:r>
        <w:rPr>
          <w:rStyle w:val="26"/>
          <w:rFonts w:hint="eastAsia" w:ascii="黑体" w:hAnsi="黑体" w:eastAsia="黑体"/>
          <w:b w:val="0"/>
          <w:color w:val="auto"/>
          <w:highlight w:val="none"/>
        </w:rPr>
        <w:t>出决算情况说明</w:t>
      </w:r>
      <w:bookmarkEnd w:id="22"/>
      <w:bookmarkEnd w:id="23"/>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1"/>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年本年支出合计</w:t>
      </w:r>
      <w:r>
        <w:rPr>
          <w:rFonts w:hint="eastAsia" w:ascii="仿宋_GB2312" w:hAnsi="仿宋_GB2312" w:eastAsia="仿宋_GB2312" w:cs="仿宋_GB2312"/>
          <w:color w:val="auto"/>
          <w:sz w:val="32"/>
          <w:szCs w:val="32"/>
          <w:highlight w:val="none"/>
          <w:lang w:val="en-US" w:eastAsia="zh-CN"/>
        </w:rPr>
        <w:t>4240.44</w:t>
      </w:r>
      <w:r>
        <w:rPr>
          <w:rFonts w:hint="eastAsia" w:ascii="仿宋_GB2312" w:hAnsi="仿宋_GB2312" w:eastAsia="仿宋_GB2312" w:cs="仿宋_GB2312"/>
          <w:color w:val="auto"/>
          <w:sz w:val="32"/>
          <w:szCs w:val="32"/>
          <w:highlight w:val="none"/>
        </w:rPr>
        <w:t>万元，其中：基本支出</w:t>
      </w:r>
      <w:r>
        <w:rPr>
          <w:rFonts w:hint="eastAsia" w:ascii="仿宋_GB2312" w:hAnsi="仿宋_GB2312" w:eastAsia="仿宋_GB2312" w:cs="仿宋_GB2312"/>
          <w:color w:val="auto"/>
          <w:sz w:val="32"/>
          <w:szCs w:val="32"/>
          <w:highlight w:val="none"/>
          <w:lang w:val="en-US" w:eastAsia="zh-CN"/>
        </w:rPr>
        <w:t>2434.9</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57.42</w:t>
      </w:r>
      <w:r>
        <w:rPr>
          <w:rFonts w:hint="eastAsia" w:ascii="仿宋_GB2312" w:hAnsi="仿宋_GB2312" w:eastAsia="仿宋_GB2312" w:cs="仿宋_GB2312"/>
          <w:color w:val="auto"/>
          <w:sz w:val="32"/>
          <w:szCs w:val="32"/>
          <w:highlight w:val="none"/>
        </w:rPr>
        <w:t>%；项目支出</w:t>
      </w:r>
      <w:r>
        <w:rPr>
          <w:rFonts w:hint="eastAsia" w:ascii="仿宋_GB2312" w:hAnsi="仿宋_GB2312" w:eastAsia="仿宋_GB2312" w:cs="仿宋_GB2312"/>
          <w:color w:val="auto"/>
          <w:sz w:val="32"/>
          <w:szCs w:val="32"/>
          <w:highlight w:val="none"/>
          <w:lang w:val="en-US" w:eastAsia="zh-CN"/>
        </w:rPr>
        <w:t>1805.54</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42.58</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rPr>
          <w:rFonts w:ascii="仿宋" w:hAnsi="仿宋" w:eastAsia="仿宋"/>
          <w:color w:val="auto"/>
          <w:sz w:val="32"/>
          <w:szCs w:val="32"/>
          <w:highlight w:val="none"/>
          <w:shd w:val="pct10" w:color="auto" w:fill="FFFFFF"/>
        </w:rPr>
      </w:pPr>
      <w:r>
        <w:rPr>
          <w:rFonts w:hint="eastAsia" w:ascii="仿宋" w:hAnsi="仿宋" w:eastAsia="仿宋"/>
          <w:color w:val="auto"/>
          <w:sz w:val="32"/>
          <w:szCs w:val="32"/>
          <w:highlight w:val="none"/>
          <w:lang w:eastAsia="zh-CN"/>
        </w:rPr>
        <w:drawing>
          <wp:anchor distT="0" distB="0" distL="114935" distR="114935" simplePos="0" relativeHeight="251659264" behindDoc="0" locked="0" layoutInCell="1" allowOverlap="1">
            <wp:simplePos x="0" y="0"/>
            <wp:positionH relativeFrom="column">
              <wp:posOffset>401320</wp:posOffset>
            </wp:positionH>
            <wp:positionV relativeFrom="paragraph">
              <wp:posOffset>128270</wp:posOffset>
            </wp:positionV>
            <wp:extent cx="4206240" cy="2546350"/>
            <wp:effectExtent l="4445" t="4445" r="18415" b="20955"/>
            <wp:wrapNone/>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rPr>
          <w:rFonts w:ascii="仿宋" w:hAnsi="仿宋" w:eastAsia="仿宋"/>
          <w:color w:val="auto"/>
          <w:sz w:val="32"/>
          <w:szCs w:val="32"/>
          <w:highlight w:val="none"/>
          <w:shd w:val="pct10" w:color="auto" w:fill="FFFFFF"/>
        </w:rPr>
      </w:pP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rPr>
          <w:rFonts w:ascii="仿宋" w:hAnsi="仿宋" w:eastAsia="仿宋"/>
          <w:color w:val="auto"/>
          <w:sz w:val="32"/>
          <w:szCs w:val="32"/>
          <w:highlight w:val="none"/>
          <w:shd w:val="pct10" w:color="auto" w:fill="FFFFFF"/>
        </w:rPr>
      </w:pP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rPr>
          <w:rFonts w:ascii="仿宋" w:hAnsi="仿宋" w:eastAsia="仿宋"/>
          <w:color w:val="auto"/>
          <w:sz w:val="32"/>
          <w:szCs w:val="32"/>
          <w:highlight w:val="none"/>
          <w:shd w:val="pct10" w:color="auto" w:fill="FFFFFF"/>
        </w:rPr>
      </w:pP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rPr>
          <w:rFonts w:ascii="仿宋" w:hAnsi="仿宋" w:eastAsia="仿宋"/>
          <w:color w:val="auto"/>
          <w:sz w:val="32"/>
          <w:szCs w:val="32"/>
          <w:highlight w:val="none"/>
          <w:shd w:val="pct10" w:color="auto" w:fill="FFFFFF"/>
        </w:rPr>
      </w:pP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rPr>
          <w:rFonts w:ascii="仿宋" w:hAnsi="仿宋" w:eastAsia="仿宋"/>
          <w:color w:val="auto"/>
          <w:sz w:val="32"/>
          <w:szCs w:val="32"/>
          <w:highlight w:val="none"/>
          <w:shd w:val="pct10" w:color="auto" w:fill="FFFFFF"/>
        </w:rPr>
      </w:pPr>
    </w:p>
    <w:p>
      <w:pPr>
        <w:keepNext w:val="0"/>
        <w:keepLines w:val="0"/>
        <w:pageBreakBefore w:val="0"/>
        <w:widowControl w:val="0"/>
        <w:kinsoku/>
        <w:wordWrap/>
        <w:overflowPunct/>
        <w:topLinePunct w:val="0"/>
        <w:autoSpaceDE/>
        <w:autoSpaceDN/>
        <w:bidi w:val="0"/>
        <w:adjustRightInd/>
        <w:snapToGrid/>
        <w:spacing w:line="550" w:lineRule="exact"/>
        <w:textAlignment w:val="auto"/>
        <w:rPr>
          <w:rFonts w:ascii="仿宋" w:hAnsi="仿宋" w:eastAsia="仿宋"/>
          <w:color w:val="auto"/>
          <w:sz w:val="32"/>
          <w:szCs w:val="32"/>
          <w:highlight w:val="none"/>
          <w:shd w:val="pct10" w:color="auto" w:fill="FFFFFF"/>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ascii="仿宋_GB2312" w:eastAsia="仿宋_GB2312"/>
          <w:color w:val="auto"/>
          <w:sz w:val="32"/>
          <w:szCs w:val="32"/>
          <w:highlight w:val="none"/>
        </w:rPr>
      </w:pPr>
      <w:r>
        <w:rPr>
          <w:rFonts w:hint="eastAsia" w:ascii="仿宋_GB2312" w:hAnsi="仿宋_GB2312" w:eastAsia="仿宋_GB2312" w:cs="仿宋_GB2312"/>
          <w:color w:val="auto"/>
          <w:sz w:val="32"/>
          <w:szCs w:val="32"/>
          <w:highlight w:val="none"/>
        </w:rPr>
        <w:t>（图3：支出决算结构图）（饼状图）</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1"/>
        <w:rPr>
          <w:rStyle w:val="26"/>
          <w:rFonts w:ascii="黑体" w:hAnsi="黑体" w:eastAsia="黑体"/>
          <w:b w:val="0"/>
          <w:color w:val="auto"/>
          <w:highlight w:val="none"/>
        </w:rPr>
      </w:pPr>
      <w:bookmarkStart w:id="24" w:name="_Toc15396606"/>
      <w:bookmarkStart w:id="25" w:name="_Toc15377208"/>
      <w:r>
        <w:rPr>
          <w:rFonts w:hint="eastAsia" w:ascii="黑体" w:hAnsi="黑体" w:eastAsia="黑体"/>
          <w:color w:val="auto"/>
          <w:sz w:val="32"/>
          <w:szCs w:val="32"/>
          <w:highlight w:val="none"/>
        </w:rPr>
        <w:t>四、财</w:t>
      </w:r>
      <w:r>
        <w:rPr>
          <w:rStyle w:val="26"/>
          <w:rFonts w:hint="eastAsia" w:ascii="黑体" w:hAnsi="黑体" w:eastAsia="黑体"/>
          <w:b w:val="0"/>
          <w:color w:val="auto"/>
          <w:highlight w:val="none"/>
        </w:rPr>
        <w:t>政拨款收入支出决算总体情况说明</w:t>
      </w:r>
      <w:bookmarkEnd w:id="24"/>
      <w:bookmarkEnd w:id="25"/>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年财政拨款收、支总计</w:t>
      </w:r>
      <w:r>
        <w:rPr>
          <w:rFonts w:hint="eastAsia" w:ascii="仿宋_GB2312" w:hAnsi="仿宋_GB2312" w:eastAsia="仿宋_GB2312" w:cs="仿宋_GB2312"/>
          <w:color w:val="auto"/>
          <w:sz w:val="32"/>
          <w:szCs w:val="32"/>
          <w:highlight w:val="none"/>
          <w:lang w:val="en-US" w:eastAsia="zh-CN"/>
        </w:rPr>
        <w:t>4455.99</w:t>
      </w:r>
      <w:r>
        <w:rPr>
          <w:rFonts w:hint="eastAsia" w:ascii="仿宋_GB2312" w:hAnsi="仿宋_GB2312" w:eastAsia="仿宋_GB2312" w:cs="仿宋_GB2312"/>
          <w:color w:val="auto"/>
          <w:sz w:val="32"/>
          <w:szCs w:val="32"/>
          <w:highlight w:val="none"/>
        </w:rPr>
        <w:t>万元。与20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年相比，收、支总计各减少</w:t>
      </w:r>
      <w:r>
        <w:rPr>
          <w:rFonts w:hint="eastAsia" w:ascii="仿宋_GB2312" w:hAnsi="仿宋_GB2312" w:eastAsia="仿宋_GB2312" w:cs="仿宋_GB2312"/>
          <w:color w:val="auto"/>
          <w:sz w:val="32"/>
          <w:szCs w:val="32"/>
          <w:highlight w:val="none"/>
          <w:lang w:val="en-US" w:eastAsia="zh-CN"/>
        </w:rPr>
        <w:t>601.22</w:t>
      </w:r>
      <w:r>
        <w:rPr>
          <w:rFonts w:hint="eastAsia" w:ascii="仿宋_GB2312" w:hAnsi="仿宋_GB2312" w:eastAsia="仿宋_GB2312" w:cs="仿宋_GB2312"/>
          <w:color w:val="auto"/>
          <w:sz w:val="32"/>
          <w:szCs w:val="32"/>
          <w:highlight w:val="none"/>
        </w:rPr>
        <w:t>万元，下降</w:t>
      </w:r>
      <w:r>
        <w:rPr>
          <w:rFonts w:hint="eastAsia" w:ascii="仿宋_GB2312" w:hAnsi="仿宋_GB2312" w:eastAsia="仿宋_GB2312" w:cs="仿宋_GB2312"/>
          <w:color w:val="auto"/>
          <w:sz w:val="32"/>
          <w:szCs w:val="32"/>
          <w:highlight w:val="none"/>
          <w:lang w:val="en-US" w:eastAsia="zh-CN"/>
        </w:rPr>
        <w:t>11.89</w:t>
      </w:r>
      <w:r>
        <w:rPr>
          <w:rFonts w:hint="eastAsia" w:ascii="仿宋_GB2312" w:hAnsi="仿宋_GB2312" w:eastAsia="仿宋_GB2312" w:cs="仿宋_GB2312"/>
          <w:color w:val="auto"/>
          <w:sz w:val="32"/>
          <w:szCs w:val="32"/>
          <w:highlight w:val="none"/>
        </w:rPr>
        <w:t>%。主要变动原因是</w:t>
      </w:r>
      <w:r>
        <w:rPr>
          <w:rFonts w:hint="eastAsia" w:ascii="仿宋_GB2312" w:hAnsi="仿宋_GB2312" w:eastAsia="仿宋_GB2312" w:cs="仿宋_GB2312"/>
          <w:color w:val="000000"/>
          <w:kern w:val="2"/>
          <w:sz w:val="32"/>
          <w:szCs w:val="32"/>
          <w:lang w:val="en-US" w:eastAsia="zh-CN" w:bidi="ar-SA"/>
        </w:rPr>
        <w:t>纪委监委业务用房及办公场所维修改造项目资金较2021年减少542.96万元</w:t>
      </w:r>
      <w:r>
        <w:rPr>
          <w:rFonts w:hint="eastAsia" w:ascii="仿宋_GB2312" w:hAnsi="仿宋_GB2312" w:eastAsia="仿宋_GB2312" w:cs="仿宋_GB2312"/>
          <w:color w:val="auto"/>
          <w:sz w:val="32"/>
          <w:szCs w:val="32"/>
          <w:highlight w:val="none"/>
          <w:lang w:eastAsia="zh-CN"/>
        </w:rPr>
        <w:t>。</w:t>
      </w:r>
    </w:p>
    <w:p>
      <w:pPr>
        <w:pStyle w:val="6"/>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仿宋_GB2312" w:hAnsi="仿宋_GB2312" w:eastAsia="仿宋_GB2312" w:cs="仿宋_GB2312"/>
          <w:color w:val="auto"/>
          <w:sz w:val="32"/>
          <w:szCs w:val="32"/>
          <w:highlight w:val="none"/>
          <w:lang w:eastAsia="zh-CN"/>
        </w:rPr>
      </w:pPr>
      <w:r>
        <w:rPr>
          <w:rFonts w:hint="eastAsia" w:eastAsia="仿宋_GB2312"/>
          <w:lang w:eastAsia="zh-CN"/>
        </w:rPr>
        <w:drawing>
          <wp:anchor distT="0" distB="0" distL="114300" distR="114300" simplePos="0" relativeHeight="251660288" behindDoc="0" locked="0" layoutInCell="1" allowOverlap="1">
            <wp:simplePos x="0" y="0"/>
            <wp:positionH relativeFrom="column">
              <wp:posOffset>185420</wp:posOffset>
            </wp:positionH>
            <wp:positionV relativeFrom="paragraph">
              <wp:posOffset>163830</wp:posOffset>
            </wp:positionV>
            <wp:extent cx="4860290" cy="2371090"/>
            <wp:effectExtent l="4445" t="4445" r="12065" b="5715"/>
            <wp:wrapNone/>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pPr>
        <w:pStyle w:val="6"/>
        <w:keepNext w:val="0"/>
        <w:keepLines w:val="0"/>
        <w:pageBreakBefore w:val="0"/>
        <w:widowControl w:val="0"/>
        <w:kinsoku/>
        <w:wordWrap/>
        <w:overflowPunct/>
        <w:topLinePunct w:val="0"/>
        <w:autoSpaceDE/>
        <w:autoSpaceDN/>
        <w:bidi w:val="0"/>
        <w:adjustRightInd/>
        <w:snapToGrid/>
        <w:spacing w:line="550" w:lineRule="exact"/>
        <w:textAlignment w:val="auto"/>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550" w:lineRule="exact"/>
        <w:textAlignment w:val="auto"/>
        <w:rPr>
          <w:rFonts w:ascii="仿宋" w:hAnsi="仿宋" w:eastAsia="仿宋"/>
          <w:color w:val="auto"/>
          <w:sz w:val="32"/>
          <w:szCs w:val="32"/>
          <w:highlight w:val="none"/>
        </w:rPr>
      </w:pPr>
    </w:p>
    <w:p>
      <w:pPr>
        <w:pStyle w:val="6"/>
        <w:keepNext w:val="0"/>
        <w:keepLines w:val="0"/>
        <w:pageBreakBefore w:val="0"/>
        <w:widowControl w:val="0"/>
        <w:kinsoku/>
        <w:wordWrap/>
        <w:overflowPunct/>
        <w:topLinePunct w:val="0"/>
        <w:autoSpaceDE/>
        <w:autoSpaceDN/>
        <w:bidi w:val="0"/>
        <w:adjustRightInd/>
        <w:snapToGrid/>
        <w:spacing w:line="550" w:lineRule="exact"/>
        <w:textAlignment w:val="auto"/>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hint="eastAsia" w:ascii="黑体" w:hAnsi="黑体" w:eastAsia="黑体"/>
          <w:color w:val="auto"/>
          <w:sz w:val="32"/>
          <w:szCs w:val="32"/>
          <w:highlight w:val="none"/>
        </w:rPr>
      </w:pPr>
      <w:r>
        <w:rPr>
          <w:rFonts w:hint="eastAsia" w:ascii="仿宋_GB2312" w:hAnsi="仿宋_GB2312" w:eastAsia="仿宋_GB2312" w:cs="仿宋_GB2312"/>
          <w:color w:val="auto"/>
          <w:sz w:val="32"/>
          <w:szCs w:val="32"/>
          <w:highlight w:val="none"/>
        </w:rPr>
        <w:t>（图4：财政拨款收、支决算总计变动情况）（柱状图）</w:t>
      </w:r>
      <w:bookmarkStart w:id="26" w:name="_Toc15396607"/>
      <w:bookmarkStart w:id="27" w:name="_Toc15377209"/>
    </w:p>
    <w:p>
      <w:pPr>
        <w:spacing w:line="600" w:lineRule="exact"/>
        <w:ind w:firstLine="640" w:firstLineChars="200"/>
        <w:outlineLvl w:val="1"/>
        <w:rPr>
          <w:rStyle w:val="26"/>
          <w:rFonts w:ascii="黑体" w:hAnsi="黑体" w:eastAsia="黑体"/>
          <w:b w:val="0"/>
          <w:color w:val="auto"/>
          <w:highlight w:val="none"/>
        </w:rPr>
      </w:pPr>
      <w:r>
        <w:rPr>
          <w:rFonts w:hint="eastAsia" w:ascii="黑体" w:hAnsi="黑体" w:eastAsia="黑体"/>
          <w:color w:val="auto"/>
          <w:sz w:val="32"/>
          <w:szCs w:val="32"/>
          <w:highlight w:val="none"/>
        </w:rPr>
        <w:t>五、</w:t>
      </w:r>
      <w:r>
        <w:rPr>
          <w:rFonts w:hint="eastAsia" w:ascii="黑体" w:hAnsi="黑体" w:eastAsia="黑体"/>
          <w:b/>
          <w:color w:val="auto"/>
          <w:sz w:val="32"/>
          <w:szCs w:val="32"/>
          <w:highlight w:val="none"/>
        </w:rPr>
        <w:t>一</w:t>
      </w:r>
      <w:r>
        <w:rPr>
          <w:rStyle w:val="26"/>
          <w:rFonts w:hint="eastAsia" w:ascii="黑体" w:hAnsi="黑体" w:eastAsia="黑体"/>
          <w:b w:val="0"/>
          <w:color w:val="auto"/>
          <w:highlight w:val="none"/>
        </w:rPr>
        <w:t>般公共预算财政拨款支出决算情况说明</w:t>
      </w:r>
      <w:bookmarkEnd w:id="26"/>
      <w:bookmarkEnd w:id="27"/>
    </w:p>
    <w:p>
      <w:pPr>
        <w:spacing w:line="600" w:lineRule="exact"/>
        <w:ind w:firstLine="642" w:firstLineChars="200"/>
        <w:outlineLvl w:val="2"/>
        <w:rPr>
          <w:rFonts w:ascii="仿宋" w:hAnsi="仿宋" w:eastAsia="仿宋"/>
          <w:b/>
          <w:color w:val="auto"/>
          <w:sz w:val="32"/>
          <w:szCs w:val="32"/>
          <w:highlight w:val="none"/>
        </w:rPr>
      </w:pPr>
      <w:bookmarkStart w:id="28" w:name="_Toc15377210"/>
      <w:r>
        <w:rPr>
          <w:rFonts w:hint="eastAsia" w:ascii="仿宋" w:hAnsi="仿宋" w:eastAsia="仿宋"/>
          <w:b/>
          <w:color w:val="auto"/>
          <w:sz w:val="32"/>
          <w:szCs w:val="32"/>
          <w:highlight w:val="none"/>
        </w:rPr>
        <w:t>（一）一般公共预算财政拨款支出决算总体情况</w:t>
      </w:r>
      <w:bookmarkEnd w:id="28"/>
    </w:p>
    <w:p>
      <w:pPr>
        <w:spacing w:line="60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年一般公共预算财政拨款支出</w:t>
      </w:r>
      <w:r>
        <w:rPr>
          <w:rFonts w:hint="eastAsia" w:ascii="仿宋_GB2312" w:hAnsi="仿宋_GB2312" w:eastAsia="仿宋_GB2312" w:cs="仿宋_GB2312"/>
          <w:color w:val="auto"/>
          <w:sz w:val="32"/>
          <w:szCs w:val="32"/>
          <w:highlight w:val="none"/>
          <w:lang w:val="en-US" w:eastAsia="zh-CN"/>
        </w:rPr>
        <w:t>4240.44</w:t>
      </w:r>
      <w:r>
        <w:rPr>
          <w:rFonts w:hint="eastAsia" w:ascii="仿宋_GB2312" w:hAnsi="仿宋_GB2312" w:eastAsia="仿宋_GB2312" w:cs="仿宋_GB2312"/>
          <w:color w:val="auto"/>
          <w:sz w:val="32"/>
          <w:szCs w:val="32"/>
          <w:highlight w:val="none"/>
        </w:rPr>
        <w:t>万元，占本年支出合计的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%。与20</w:t>
      </w:r>
      <w:r>
        <w:rPr>
          <w:rFonts w:hint="eastAsia" w:ascii="仿宋_GB2312" w:hAnsi="仿宋_GB2312" w:eastAsia="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年相比，一般公共预算财政拨款</w:t>
      </w:r>
      <w:r>
        <w:rPr>
          <w:rFonts w:hint="eastAsia" w:ascii="仿宋_GB2312" w:hAnsi="仿宋_GB2312" w:eastAsia="仿宋_GB2312" w:cs="仿宋_GB2312"/>
          <w:color w:val="auto"/>
          <w:sz w:val="32"/>
          <w:szCs w:val="32"/>
          <w:highlight w:val="none"/>
          <w:lang w:eastAsia="zh-CN"/>
        </w:rPr>
        <w:t>支出</w:t>
      </w:r>
      <w:r>
        <w:rPr>
          <w:rFonts w:hint="eastAsia" w:ascii="仿宋_GB2312" w:hAnsi="仿宋_GB2312" w:eastAsia="仿宋_GB2312" w:cs="仿宋_GB2312"/>
          <w:color w:val="auto"/>
          <w:sz w:val="32"/>
          <w:szCs w:val="32"/>
          <w:highlight w:val="none"/>
        </w:rPr>
        <w:t>减少</w:t>
      </w:r>
      <w:r>
        <w:rPr>
          <w:rFonts w:hint="eastAsia" w:ascii="仿宋_GB2312" w:hAnsi="仿宋_GB2312" w:eastAsia="仿宋_GB2312" w:cs="仿宋_GB2312"/>
          <w:color w:val="auto"/>
          <w:sz w:val="32"/>
          <w:szCs w:val="32"/>
          <w:highlight w:val="none"/>
          <w:lang w:val="en-US" w:eastAsia="zh-CN"/>
        </w:rPr>
        <w:t>421.62</w:t>
      </w:r>
      <w:r>
        <w:rPr>
          <w:rFonts w:hint="eastAsia" w:ascii="仿宋_GB2312" w:hAnsi="仿宋_GB2312" w:eastAsia="仿宋_GB2312" w:cs="仿宋_GB2312"/>
          <w:color w:val="auto"/>
          <w:sz w:val="32"/>
          <w:szCs w:val="32"/>
          <w:highlight w:val="none"/>
        </w:rPr>
        <w:t>万元，下降</w:t>
      </w:r>
      <w:r>
        <w:rPr>
          <w:rFonts w:hint="eastAsia" w:ascii="仿宋_GB2312" w:hAnsi="仿宋_GB2312" w:eastAsia="仿宋_GB2312" w:cs="仿宋_GB2312"/>
          <w:color w:val="auto"/>
          <w:sz w:val="32"/>
          <w:szCs w:val="32"/>
          <w:highlight w:val="none"/>
          <w:lang w:val="en-US" w:eastAsia="zh-CN"/>
        </w:rPr>
        <w:t>9.04</w:t>
      </w:r>
      <w:r>
        <w:rPr>
          <w:rFonts w:hint="eastAsia" w:ascii="仿宋_GB2312" w:hAnsi="仿宋_GB2312" w:eastAsia="仿宋_GB2312" w:cs="仿宋_GB2312"/>
          <w:color w:val="auto"/>
          <w:sz w:val="32"/>
          <w:szCs w:val="32"/>
          <w:highlight w:val="none"/>
        </w:rPr>
        <w:t>%。主要变动原因是</w:t>
      </w:r>
      <w:r>
        <w:rPr>
          <w:rFonts w:hint="eastAsia" w:ascii="仿宋_GB2312" w:hAnsi="仿宋_GB2312" w:eastAsia="仿宋_GB2312" w:cs="仿宋_GB2312"/>
          <w:color w:val="000000"/>
          <w:kern w:val="2"/>
          <w:sz w:val="32"/>
          <w:szCs w:val="32"/>
          <w:lang w:val="en-US" w:eastAsia="zh-CN" w:bidi="ar-SA"/>
        </w:rPr>
        <w:t>纪委监委业务用房及办公场所维修改造项目资金较2021年减少542.96万元</w:t>
      </w:r>
      <w:r>
        <w:rPr>
          <w:rFonts w:hint="eastAsia" w:ascii="仿宋_GB2312" w:hAnsi="仿宋_GB2312" w:eastAsia="仿宋_GB2312" w:cs="仿宋_GB2312"/>
          <w:color w:val="auto"/>
          <w:sz w:val="32"/>
          <w:szCs w:val="32"/>
          <w:highlight w:val="none"/>
          <w:lang w:eastAsia="zh-CN"/>
        </w:rPr>
        <w:t>。</w:t>
      </w:r>
    </w:p>
    <w:p>
      <w:pPr>
        <w:spacing w:line="600" w:lineRule="exact"/>
        <w:ind w:firstLine="420" w:firstLineChars="200"/>
        <w:rPr>
          <w:rFonts w:ascii="仿宋" w:hAnsi="仿宋" w:eastAsia="仿宋"/>
          <w:color w:val="auto"/>
          <w:sz w:val="32"/>
          <w:szCs w:val="32"/>
          <w:highlight w:val="none"/>
        </w:rPr>
      </w:pPr>
      <w:r>
        <w:rPr>
          <w:rFonts w:hint="eastAsia" w:eastAsia="仿宋_GB2312"/>
          <w:lang w:eastAsia="zh-CN"/>
        </w:rPr>
        <w:drawing>
          <wp:anchor distT="0" distB="0" distL="114300" distR="114300" simplePos="0" relativeHeight="251663360" behindDoc="0" locked="0" layoutInCell="1" allowOverlap="1">
            <wp:simplePos x="0" y="0"/>
            <wp:positionH relativeFrom="column">
              <wp:posOffset>476250</wp:posOffset>
            </wp:positionH>
            <wp:positionV relativeFrom="paragraph">
              <wp:posOffset>200025</wp:posOffset>
            </wp:positionV>
            <wp:extent cx="4860290" cy="2371090"/>
            <wp:effectExtent l="4445" t="4445" r="12065" b="5715"/>
            <wp:wrapNone/>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pPr>
        <w:pStyle w:val="6"/>
        <w:rPr>
          <w:rFonts w:ascii="仿宋" w:hAnsi="仿宋" w:eastAsia="仿宋"/>
          <w:color w:val="auto"/>
          <w:sz w:val="32"/>
          <w:szCs w:val="32"/>
          <w:highlight w:val="none"/>
        </w:rPr>
      </w:pPr>
    </w:p>
    <w:p>
      <w:pPr>
        <w:pStyle w:val="6"/>
        <w:rPr>
          <w:rFonts w:ascii="仿宋" w:hAnsi="仿宋" w:eastAsia="仿宋"/>
          <w:color w:val="auto"/>
          <w:sz w:val="32"/>
          <w:szCs w:val="32"/>
          <w:highlight w:val="none"/>
        </w:rPr>
      </w:pPr>
    </w:p>
    <w:p>
      <w:pPr>
        <w:pStyle w:val="6"/>
        <w:rPr>
          <w:rFonts w:ascii="仿宋" w:hAnsi="仿宋" w:eastAsia="仿宋"/>
          <w:color w:val="auto"/>
          <w:sz w:val="32"/>
          <w:szCs w:val="32"/>
          <w:highlight w:val="none"/>
        </w:rPr>
      </w:pPr>
    </w:p>
    <w:p>
      <w:pPr>
        <w:pStyle w:val="6"/>
        <w:rPr>
          <w:rFonts w:ascii="仿宋" w:hAnsi="仿宋" w:eastAsia="仿宋"/>
          <w:color w:val="auto"/>
          <w:sz w:val="32"/>
          <w:szCs w:val="32"/>
          <w:highlight w:val="none"/>
        </w:rPr>
      </w:pPr>
    </w:p>
    <w:p>
      <w:pPr>
        <w:pStyle w:val="6"/>
        <w:rPr>
          <w:rFonts w:ascii="仿宋" w:hAnsi="仿宋" w:eastAsia="仿宋"/>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rPr>
          <w:rFonts w:ascii="仿宋" w:hAnsi="仿宋" w:eastAsia="仿宋"/>
          <w:color w:val="auto"/>
          <w:sz w:val="32"/>
          <w:szCs w:val="32"/>
          <w:highlight w:val="none"/>
        </w:rPr>
      </w:pPr>
      <w:r>
        <w:rPr>
          <w:rFonts w:hint="eastAsia" w:ascii="仿宋_GB2312" w:hAnsi="仿宋_GB2312" w:eastAsia="仿宋_GB2312" w:cs="仿宋_GB2312"/>
          <w:color w:val="auto"/>
          <w:sz w:val="32"/>
          <w:szCs w:val="32"/>
          <w:highlight w:val="none"/>
        </w:rPr>
        <w:t>（图5：一般公共预算财政拨款支出决算变动情况）（柱状图）</w:t>
      </w:r>
    </w:p>
    <w:p>
      <w:pPr>
        <w:spacing w:line="600" w:lineRule="exact"/>
        <w:ind w:firstLine="642" w:firstLineChars="200"/>
        <w:outlineLvl w:val="2"/>
        <w:rPr>
          <w:rFonts w:ascii="仿宋" w:hAnsi="仿宋" w:eastAsia="仿宋"/>
          <w:b/>
          <w:color w:val="auto"/>
          <w:sz w:val="32"/>
          <w:szCs w:val="32"/>
          <w:highlight w:val="none"/>
        </w:rPr>
      </w:pPr>
      <w:bookmarkStart w:id="29" w:name="_Toc15377211"/>
      <w:r>
        <w:rPr>
          <w:rFonts w:hint="eastAsia" w:ascii="仿宋" w:hAnsi="仿宋" w:eastAsia="仿宋"/>
          <w:b/>
          <w:color w:val="auto"/>
          <w:sz w:val="32"/>
          <w:szCs w:val="32"/>
          <w:highlight w:val="none"/>
        </w:rPr>
        <w:t>（二）一般公共预算财政拨款支出决算结构情况</w:t>
      </w:r>
      <w:bookmarkEnd w:id="29"/>
    </w:p>
    <w:p>
      <w:pPr>
        <w:spacing w:line="600" w:lineRule="exact"/>
        <w:ind w:firstLine="640"/>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年一般公共预算财政拨款支出</w:t>
      </w:r>
      <w:r>
        <w:rPr>
          <w:rFonts w:hint="eastAsia" w:ascii="仿宋_GB2312" w:hAnsi="仿宋_GB2312" w:eastAsia="仿宋_GB2312" w:cs="仿宋_GB2312"/>
          <w:color w:val="auto"/>
          <w:sz w:val="32"/>
          <w:szCs w:val="32"/>
          <w:highlight w:val="none"/>
          <w:lang w:val="en-US" w:eastAsia="zh-CN"/>
        </w:rPr>
        <w:t>4240.44</w:t>
      </w:r>
      <w:r>
        <w:rPr>
          <w:rFonts w:hint="eastAsia" w:ascii="仿宋_GB2312" w:hAnsi="仿宋_GB2312" w:eastAsia="仿宋_GB2312" w:cs="仿宋_GB2312"/>
          <w:color w:val="auto"/>
          <w:sz w:val="32"/>
          <w:szCs w:val="32"/>
          <w:highlight w:val="none"/>
        </w:rPr>
        <w:t>万元，主要用于以下方面:</w:t>
      </w:r>
      <w:r>
        <w:rPr>
          <w:rFonts w:hint="eastAsia" w:ascii="仿宋_GB2312" w:hAnsi="仿宋_GB2312" w:eastAsia="仿宋_GB2312" w:cs="仿宋_GB2312"/>
          <w:b/>
          <w:color w:val="auto"/>
          <w:sz w:val="32"/>
          <w:szCs w:val="32"/>
          <w:highlight w:val="none"/>
        </w:rPr>
        <w:t>一般公共服务</w:t>
      </w:r>
      <w:r>
        <w:rPr>
          <w:rFonts w:hint="eastAsia" w:ascii="仿宋_GB2312" w:hAnsi="仿宋_GB2312" w:eastAsia="仿宋_GB2312" w:cs="仿宋_GB2312"/>
          <w:b/>
          <w:bCs/>
          <w:color w:val="auto"/>
          <w:sz w:val="32"/>
          <w:szCs w:val="32"/>
          <w:highlight w:val="none"/>
        </w:rPr>
        <w:t>支出</w:t>
      </w:r>
      <w:r>
        <w:rPr>
          <w:rFonts w:hint="eastAsia" w:ascii="仿宋_GB2312" w:hAnsi="仿宋_GB2312" w:eastAsia="仿宋_GB2312" w:cs="仿宋_GB2312"/>
          <w:color w:val="auto"/>
          <w:sz w:val="32"/>
          <w:szCs w:val="32"/>
          <w:highlight w:val="none"/>
        </w:rPr>
        <w:t>3819.1</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90.07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color w:val="auto"/>
          <w:sz w:val="32"/>
          <w:szCs w:val="32"/>
          <w:highlight w:val="none"/>
        </w:rPr>
        <w:t>社会保障和就业</w:t>
      </w:r>
      <w:r>
        <w:rPr>
          <w:rFonts w:hint="eastAsia" w:ascii="仿宋_GB2312" w:hAnsi="仿宋_GB2312" w:eastAsia="仿宋_GB2312" w:cs="仿宋_GB2312"/>
          <w:b/>
          <w:bCs/>
          <w:color w:val="auto"/>
          <w:sz w:val="32"/>
          <w:szCs w:val="32"/>
          <w:highlight w:val="none"/>
        </w:rPr>
        <w:t>支出</w:t>
      </w:r>
      <w:r>
        <w:rPr>
          <w:rFonts w:hint="eastAsia" w:ascii="仿宋_GB2312" w:hAnsi="仿宋_GB2312" w:eastAsia="仿宋_GB2312" w:cs="仿宋_GB2312"/>
          <w:color w:val="auto"/>
          <w:sz w:val="32"/>
          <w:szCs w:val="32"/>
          <w:highlight w:val="none"/>
        </w:rPr>
        <w:t>167.58万元，占</w:t>
      </w:r>
      <w:r>
        <w:rPr>
          <w:rFonts w:hint="eastAsia" w:ascii="仿宋_GB2312" w:hAnsi="仿宋_GB2312" w:eastAsia="仿宋_GB2312" w:cs="仿宋_GB2312"/>
          <w:color w:val="auto"/>
          <w:sz w:val="32"/>
          <w:szCs w:val="32"/>
          <w:highlight w:val="none"/>
          <w:lang w:val="en-US" w:eastAsia="zh-CN"/>
        </w:rPr>
        <w:t>3.95</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卫生健康支出</w:t>
      </w:r>
      <w:r>
        <w:rPr>
          <w:rFonts w:hint="eastAsia" w:ascii="仿宋_GB2312" w:hAnsi="仿宋_GB2312" w:eastAsia="仿宋_GB2312" w:cs="仿宋_GB2312"/>
          <w:color w:val="auto"/>
          <w:sz w:val="32"/>
          <w:szCs w:val="32"/>
          <w:highlight w:val="none"/>
          <w:lang w:val="en-US" w:eastAsia="zh-CN"/>
        </w:rPr>
        <w:t>77.65</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1.83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住房保障支出</w:t>
      </w:r>
      <w:r>
        <w:rPr>
          <w:rFonts w:hint="eastAsia" w:ascii="仿宋_GB2312" w:hAnsi="仿宋_GB2312" w:eastAsia="仿宋_GB2312" w:cs="仿宋_GB2312"/>
          <w:color w:val="auto"/>
          <w:sz w:val="32"/>
          <w:szCs w:val="32"/>
          <w:highlight w:val="none"/>
          <w:lang w:val="en-US" w:eastAsia="zh-CN"/>
        </w:rPr>
        <w:t>176.07</w:t>
      </w:r>
      <w:r>
        <w:rPr>
          <w:rFonts w:hint="eastAsia" w:ascii="仿宋_GB2312" w:hAnsi="仿宋_GB2312" w:eastAsia="仿宋_GB2312" w:cs="仿宋_GB2312"/>
          <w:color w:val="auto"/>
          <w:sz w:val="32"/>
          <w:szCs w:val="32"/>
          <w:highlight w:val="none"/>
        </w:rPr>
        <w:t>万元，占</w:t>
      </w:r>
      <w:r>
        <w:rPr>
          <w:rFonts w:hint="eastAsia" w:ascii="仿宋_GB2312" w:hAnsi="仿宋_GB2312" w:eastAsia="仿宋_GB2312" w:cs="仿宋_GB2312"/>
          <w:color w:val="auto"/>
          <w:sz w:val="32"/>
          <w:szCs w:val="32"/>
          <w:highlight w:val="none"/>
          <w:lang w:val="en-US" w:eastAsia="zh-CN"/>
        </w:rPr>
        <w:t>4.15</w:t>
      </w:r>
      <w:r>
        <w:rPr>
          <w:rFonts w:hint="eastAsia" w:ascii="仿宋_GB2312" w:hAnsi="仿宋_GB2312" w:eastAsia="仿宋_GB2312" w:cs="仿宋_GB2312"/>
          <w:color w:val="auto"/>
          <w:sz w:val="32"/>
          <w:szCs w:val="32"/>
          <w:highlight w:val="none"/>
        </w:rPr>
        <w:t>%。</w:t>
      </w:r>
    </w:p>
    <w:p>
      <w:pPr>
        <w:spacing w:line="600" w:lineRule="exact"/>
        <w:ind w:firstLine="640"/>
        <w:rPr>
          <w:rFonts w:ascii="仿宋" w:hAnsi="仿宋" w:eastAsia="仿宋"/>
          <w:color w:val="auto"/>
          <w:sz w:val="32"/>
          <w:szCs w:val="32"/>
          <w:highlight w:val="none"/>
        </w:rPr>
      </w:pPr>
    </w:p>
    <w:p>
      <w:pPr>
        <w:pStyle w:val="6"/>
      </w:pPr>
    </w:p>
    <w:p>
      <w:pPr>
        <w:spacing w:line="600" w:lineRule="exact"/>
        <w:ind w:firstLine="420" w:firstLineChars="200"/>
        <w:rPr>
          <w:rFonts w:hint="eastAsia" w:ascii="仿宋" w:hAnsi="仿宋" w:eastAsia="仿宋"/>
          <w:color w:val="auto"/>
          <w:sz w:val="32"/>
          <w:szCs w:val="32"/>
          <w:highlight w:val="none"/>
        </w:rPr>
      </w:pPr>
      <w:r>
        <w:rPr>
          <w:rFonts w:hint="eastAsia"/>
        </w:rPr>
        <w:pict>
          <v:shape id="_x0000_s1027" o:spid="_x0000_s1027" o:spt="75" alt="olechartimg_1695639184369435_541671424" type="#_x0000_t75" style="position:absolute;left:0pt;margin-left:40.25pt;margin-top:10.3pt;height:197.05pt;width:369.75pt;z-index:251668480;mso-width-relative:page;mso-height-relative:page;" o:ole="t" filled="f" o:preferrelative="t" stroked="f" coordsize="21600,21600">
            <v:path/>
            <v:fill on="f" focussize="0,0"/>
            <v:stroke on="f"/>
            <v:imagedata r:id="rId13" o:title="olechartimg_1695887376776540_236668928"/>
            <o:lock v:ext="edit" aspectratio="t"/>
          </v:shape>
          <o:OLEObject Type="Embed" ProgID="Excel.Chart.8" ShapeID="_x0000_s1027" DrawAspect="Content" ObjectID="_1468075726" r:id="rId12">
            <o:LockedField>false</o:LockedField>
          </o:OLEObject>
        </w:pict>
      </w: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pStyle w:val="6"/>
        <w:rPr>
          <w:rFonts w:hint="eastAsia" w:ascii="仿宋" w:hAnsi="仿宋" w:eastAsia="仿宋"/>
          <w:color w:val="auto"/>
          <w:sz w:val="32"/>
          <w:szCs w:val="32"/>
          <w:highlight w:val="none"/>
        </w:rPr>
      </w:pPr>
    </w:p>
    <w:p>
      <w:pPr>
        <w:spacing w:line="600" w:lineRule="exact"/>
        <w:ind w:firstLine="640" w:firstLineChars="200"/>
        <w:rPr>
          <w:rFonts w:hint="eastAsia" w:ascii="仿宋_GB2312" w:hAnsi="仿宋_GB2312" w:eastAsia="仿宋_GB2312" w:cs="仿宋_GB2312"/>
          <w:color w:val="auto"/>
          <w:sz w:val="32"/>
          <w:szCs w:val="32"/>
          <w:highlight w:val="none"/>
        </w:rPr>
      </w:pPr>
    </w:p>
    <w:p>
      <w:pPr>
        <w:spacing w:line="60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（图6：一般公共预算财政拨款支出决算结构）（饼状图）</w:t>
      </w:r>
    </w:p>
    <w:p>
      <w:pPr>
        <w:spacing w:line="600" w:lineRule="exact"/>
        <w:ind w:firstLine="640" w:firstLineChars="200"/>
        <w:rPr>
          <w:rFonts w:ascii="仿宋" w:hAnsi="仿宋" w:eastAsia="仿宋"/>
          <w:color w:val="auto"/>
          <w:sz w:val="32"/>
          <w:szCs w:val="32"/>
          <w:highlight w:val="none"/>
        </w:rPr>
      </w:pPr>
    </w:p>
    <w:p>
      <w:pPr>
        <w:spacing w:line="600" w:lineRule="exact"/>
        <w:ind w:firstLine="642" w:firstLineChars="200"/>
        <w:outlineLvl w:val="2"/>
        <w:rPr>
          <w:rFonts w:ascii="仿宋" w:hAnsi="仿宋" w:eastAsia="仿宋"/>
          <w:b/>
          <w:color w:val="auto"/>
          <w:sz w:val="32"/>
          <w:szCs w:val="32"/>
          <w:highlight w:val="none"/>
        </w:rPr>
      </w:pPr>
      <w:bookmarkStart w:id="30" w:name="_Toc15377212"/>
      <w:r>
        <w:rPr>
          <w:rFonts w:hint="eastAsia" w:ascii="仿宋" w:hAnsi="仿宋" w:eastAsia="仿宋"/>
          <w:b/>
          <w:color w:val="auto"/>
          <w:sz w:val="32"/>
          <w:szCs w:val="32"/>
          <w:highlight w:val="none"/>
        </w:rPr>
        <w:t>（三）一般公共预算财政拨款支出决算具体情况</w:t>
      </w:r>
      <w:bookmarkEnd w:id="30"/>
    </w:p>
    <w:p>
      <w:pPr>
        <w:spacing w:line="600" w:lineRule="exact"/>
        <w:ind w:firstLine="642" w:firstLineChars="200"/>
        <w:outlineLvl w:val="2"/>
        <w:rPr>
          <w:rFonts w:hint="eastAsia" w:ascii="仿宋_GB2312" w:hAnsi="仿宋_GB2312" w:eastAsia="仿宋_GB2312" w:cs="仿宋_GB2312"/>
          <w:b/>
          <w:color w:val="auto"/>
          <w:sz w:val="32"/>
          <w:szCs w:val="32"/>
          <w:highlight w:val="none"/>
        </w:rPr>
      </w:pPr>
      <w:bookmarkStart w:id="31" w:name="_Toc15377444"/>
      <w:bookmarkStart w:id="32" w:name="_Toc15378460"/>
      <w:bookmarkStart w:id="33" w:name="_Toc15377213"/>
      <w:r>
        <w:rPr>
          <w:rFonts w:hint="eastAsia" w:ascii="仿宋_GB2312" w:hAnsi="仿宋_GB2312" w:eastAsia="仿宋_GB2312" w:cs="仿宋_GB2312"/>
          <w:b/>
          <w:color w:val="auto"/>
          <w:sz w:val="32"/>
          <w:szCs w:val="32"/>
          <w:highlight w:val="none"/>
        </w:rPr>
        <w:t>20</w:t>
      </w:r>
      <w:r>
        <w:rPr>
          <w:rFonts w:hint="eastAsia" w:ascii="仿宋_GB2312" w:hAnsi="仿宋_GB2312" w:eastAsia="仿宋_GB2312" w:cs="仿宋_GB2312"/>
          <w:b/>
          <w:color w:val="auto"/>
          <w:sz w:val="32"/>
          <w:szCs w:val="32"/>
          <w:highlight w:val="none"/>
          <w:lang w:val="en-US" w:eastAsia="zh-CN"/>
        </w:rPr>
        <w:t>22</w:t>
      </w:r>
      <w:r>
        <w:rPr>
          <w:rFonts w:hint="eastAsia" w:ascii="仿宋_GB2312" w:hAnsi="仿宋_GB2312" w:eastAsia="仿宋_GB2312" w:cs="仿宋_GB2312"/>
          <w:b/>
          <w:color w:val="auto"/>
          <w:sz w:val="32"/>
          <w:szCs w:val="32"/>
          <w:highlight w:val="none"/>
        </w:rPr>
        <w:t>年</w:t>
      </w:r>
      <w:r>
        <w:rPr>
          <w:rFonts w:hint="eastAsia" w:ascii="仿宋_GB2312" w:hAnsi="仿宋_GB2312" w:eastAsia="仿宋_GB2312" w:cs="仿宋_GB2312"/>
          <w:b/>
          <w:color w:val="auto"/>
          <w:sz w:val="32"/>
          <w:szCs w:val="32"/>
          <w:highlight w:val="none"/>
          <w:lang w:eastAsia="zh-CN"/>
        </w:rPr>
        <w:t>一</w:t>
      </w:r>
      <w:r>
        <w:rPr>
          <w:rFonts w:hint="eastAsia" w:ascii="仿宋_GB2312" w:hAnsi="仿宋_GB2312" w:eastAsia="仿宋_GB2312" w:cs="仿宋_GB2312"/>
          <w:b/>
          <w:color w:val="auto"/>
          <w:sz w:val="32"/>
          <w:szCs w:val="32"/>
          <w:highlight w:val="none"/>
        </w:rPr>
        <w:t>般公共预算支出决算数为</w:t>
      </w:r>
      <w:r>
        <w:rPr>
          <w:rFonts w:hint="eastAsia" w:ascii="仿宋_GB2312" w:hAnsi="仿宋_GB2312" w:eastAsia="仿宋_GB2312" w:cs="仿宋_GB2312"/>
          <w:b/>
          <w:color w:val="auto"/>
          <w:sz w:val="32"/>
          <w:szCs w:val="32"/>
          <w:highlight w:val="none"/>
          <w:lang w:val="en-US" w:eastAsia="zh-CN"/>
        </w:rPr>
        <w:t>4240.44万元</w:t>
      </w:r>
      <w:r>
        <w:rPr>
          <w:rFonts w:hint="eastAsia" w:ascii="仿宋_GB2312" w:hAnsi="仿宋_GB2312" w:eastAsia="仿宋_GB2312" w:cs="仿宋_GB2312"/>
          <w:b/>
          <w:color w:val="auto"/>
          <w:sz w:val="32"/>
          <w:szCs w:val="32"/>
          <w:highlight w:val="none"/>
        </w:rPr>
        <w:t>，完成预算</w:t>
      </w:r>
      <w:r>
        <w:rPr>
          <w:rFonts w:hint="eastAsia" w:ascii="仿宋_GB2312" w:hAnsi="仿宋_GB2312" w:eastAsia="仿宋_GB2312" w:cs="仿宋_GB2312"/>
          <w:b/>
          <w:color w:val="auto"/>
          <w:sz w:val="32"/>
          <w:szCs w:val="32"/>
          <w:highlight w:val="none"/>
          <w:lang w:val="en-US" w:eastAsia="zh-CN"/>
        </w:rPr>
        <w:t>95.16</w:t>
      </w:r>
      <w:r>
        <w:rPr>
          <w:rFonts w:hint="eastAsia" w:ascii="仿宋_GB2312" w:hAnsi="仿宋_GB2312" w:eastAsia="仿宋_GB2312" w:cs="仿宋_GB2312"/>
          <w:b/>
          <w:color w:val="auto"/>
          <w:sz w:val="32"/>
          <w:szCs w:val="32"/>
          <w:highlight w:val="none"/>
        </w:rPr>
        <w:t>%。其中：</w:t>
      </w:r>
      <w:bookmarkEnd w:id="31"/>
      <w:bookmarkEnd w:id="32"/>
      <w:bookmarkEnd w:id="33"/>
    </w:p>
    <w:p>
      <w:pPr>
        <w:spacing w:line="600" w:lineRule="exact"/>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hAnsi="Times New Roman" w:eastAsia="仿宋_GB2312" w:cs="Times New Roman"/>
          <w:b/>
          <w:bCs/>
          <w:color w:val="000000"/>
          <w:kern w:val="2"/>
          <w:sz w:val="32"/>
          <w:szCs w:val="32"/>
          <w:lang w:val="en-US" w:eastAsia="zh-CN" w:bidi="ar-SA"/>
        </w:rPr>
        <w:t>一般公共服务（类）纪检监察事务（款）</w:t>
      </w:r>
      <w:r>
        <w:rPr>
          <w:rFonts w:hint="eastAsia" w:ascii="仿宋_GB2312" w:hAnsi="Times New Roman" w:eastAsia="仿宋_GB2312" w:cs="Times New Roman"/>
          <w:color w:val="000000"/>
          <w:kern w:val="2"/>
          <w:sz w:val="32"/>
          <w:szCs w:val="32"/>
          <w:lang w:val="en-US" w:eastAsia="zh-CN" w:bidi="ar-SA"/>
        </w:rPr>
        <w:t>：</w:t>
      </w:r>
      <w:r>
        <w:rPr>
          <w:rFonts w:hint="eastAsia" w:ascii="仿宋_GB2312" w:hAnsi="Times New Roman" w:eastAsia="仿宋_GB2312" w:cs="Times New Roman"/>
          <w:b/>
          <w:bCs/>
          <w:color w:val="000000"/>
          <w:kern w:val="2"/>
          <w:sz w:val="32"/>
          <w:szCs w:val="32"/>
          <w:lang w:val="en-US" w:eastAsia="zh-CN" w:bidi="ar-SA"/>
        </w:rPr>
        <w:t>行政运行（项）</w:t>
      </w:r>
      <w:r>
        <w:rPr>
          <w:rFonts w:hint="eastAsia" w:ascii="仿宋_GB2312" w:hAnsi="Times New Roman" w:eastAsia="仿宋_GB2312" w:cs="Times New Roman"/>
          <w:color w:val="000000"/>
          <w:kern w:val="2"/>
          <w:sz w:val="32"/>
          <w:szCs w:val="32"/>
          <w:lang w:val="en-US" w:eastAsia="zh-CN" w:bidi="ar-SA"/>
        </w:rPr>
        <w:t xml:space="preserve"> 支出决算为1964.18万元，完成预算100%，与预算数持平。</w:t>
      </w:r>
      <w:r>
        <w:rPr>
          <w:rFonts w:hint="eastAsia" w:ascii="仿宋_GB2312" w:hAnsi="Times New Roman" w:eastAsia="仿宋_GB2312" w:cs="Times New Roman"/>
          <w:b/>
          <w:bCs/>
          <w:color w:val="000000"/>
          <w:kern w:val="2"/>
          <w:sz w:val="32"/>
          <w:szCs w:val="32"/>
          <w:lang w:val="en-US" w:eastAsia="zh-CN" w:bidi="ar-SA"/>
        </w:rPr>
        <w:t>一般行政管理事务（项）</w:t>
      </w:r>
      <w:r>
        <w:rPr>
          <w:rFonts w:hint="eastAsia" w:ascii="仿宋_GB2312" w:hAnsi="Times New Roman" w:eastAsia="仿宋_GB2312" w:cs="Times New Roman"/>
          <w:color w:val="000000"/>
          <w:kern w:val="2"/>
          <w:sz w:val="32"/>
          <w:szCs w:val="32"/>
          <w:lang w:val="en-US" w:eastAsia="zh-CN" w:bidi="ar-SA"/>
        </w:rPr>
        <w:t>支出决算为391.71万元，完成预算100%，与预算数持平。</w:t>
      </w:r>
      <w:r>
        <w:rPr>
          <w:rFonts w:hint="eastAsia" w:ascii="仿宋_GB2312" w:hAnsi="Times New Roman" w:eastAsia="仿宋_GB2312" w:cs="Times New Roman"/>
          <w:b/>
          <w:bCs/>
          <w:color w:val="000000"/>
          <w:kern w:val="2"/>
          <w:sz w:val="32"/>
          <w:szCs w:val="32"/>
          <w:lang w:val="en-US" w:eastAsia="zh-CN" w:bidi="ar-SA"/>
        </w:rPr>
        <w:t>大案要案查处（项）</w:t>
      </w:r>
      <w:r>
        <w:rPr>
          <w:rFonts w:hint="eastAsia" w:ascii="仿宋_GB2312" w:hAnsi="Times New Roman" w:eastAsia="仿宋_GB2312" w:cs="Times New Roman"/>
          <w:color w:val="000000"/>
          <w:kern w:val="2"/>
          <w:sz w:val="32"/>
          <w:szCs w:val="32"/>
          <w:lang w:val="en-US" w:eastAsia="zh-CN" w:bidi="ar-SA"/>
        </w:rPr>
        <w:t>支出决算为1084.28万元，完成预算100%，与预算数持平。</w:t>
      </w:r>
      <w:r>
        <w:rPr>
          <w:rFonts w:hint="eastAsia" w:ascii="仿宋_GB2312" w:hAnsi="Times New Roman" w:eastAsia="仿宋_GB2312" w:cs="Times New Roman"/>
          <w:b/>
          <w:bCs/>
          <w:color w:val="000000"/>
          <w:kern w:val="2"/>
          <w:sz w:val="32"/>
          <w:szCs w:val="32"/>
          <w:lang w:val="en-US" w:eastAsia="zh-CN" w:bidi="ar-SA"/>
        </w:rPr>
        <w:t>巡视工作（项）</w:t>
      </w:r>
      <w:r>
        <w:rPr>
          <w:rFonts w:hint="eastAsia" w:ascii="仿宋_GB2312" w:hAnsi="Times New Roman" w:eastAsia="仿宋_GB2312" w:cs="Times New Roman"/>
          <w:color w:val="000000"/>
          <w:kern w:val="2"/>
          <w:sz w:val="32"/>
          <w:szCs w:val="32"/>
          <w:lang w:val="en-US" w:eastAsia="zh-CN" w:bidi="ar-SA"/>
        </w:rPr>
        <w:t>支出决算为154.07万元，完成预算100%，与预算数持平。</w:t>
      </w:r>
      <w:r>
        <w:rPr>
          <w:rFonts w:hint="eastAsia" w:ascii="仿宋_GB2312" w:hAnsi="Times New Roman" w:eastAsia="仿宋_GB2312" w:cs="Times New Roman"/>
          <w:b/>
          <w:bCs/>
          <w:color w:val="000000"/>
          <w:kern w:val="2"/>
          <w:sz w:val="32"/>
          <w:szCs w:val="32"/>
          <w:lang w:val="en-US" w:eastAsia="zh-CN" w:bidi="ar-SA"/>
        </w:rPr>
        <w:t>事业运行（项）</w:t>
      </w:r>
      <w:r>
        <w:rPr>
          <w:rFonts w:hint="eastAsia" w:ascii="仿宋_GB2312" w:hAnsi="Times New Roman" w:eastAsia="仿宋_GB2312" w:cs="Times New Roman"/>
          <w:color w:val="000000"/>
          <w:kern w:val="2"/>
          <w:sz w:val="32"/>
          <w:szCs w:val="32"/>
          <w:lang w:val="en-US" w:eastAsia="zh-CN" w:bidi="ar-SA"/>
        </w:rPr>
        <w:t>支出决算为</w:t>
      </w:r>
      <w:r>
        <w:rPr>
          <w:rFonts w:hint="eastAsia" w:ascii="仿宋_GB2312" w:eastAsia="仿宋_GB2312" w:cs="Times New Roman"/>
          <w:color w:val="000000"/>
          <w:kern w:val="2"/>
          <w:sz w:val="32"/>
          <w:szCs w:val="32"/>
          <w:lang w:val="en-US" w:eastAsia="zh-CN" w:bidi="ar-SA"/>
        </w:rPr>
        <w:t>49.41</w:t>
      </w:r>
      <w:r>
        <w:rPr>
          <w:rFonts w:hint="eastAsia" w:ascii="仿宋_GB2312" w:hAnsi="Times New Roman" w:eastAsia="仿宋_GB2312" w:cs="Times New Roman"/>
          <w:color w:val="000000"/>
          <w:kern w:val="2"/>
          <w:sz w:val="32"/>
          <w:szCs w:val="32"/>
          <w:lang w:val="en-US" w:eastAsia="zh-CN" w:bidi="ar-SA"/>
        </w:rPr>
        <w:t>万元，完成预算100%，与预算数持平。</w:t>
      </w:r>
      <w:r>
        <w:rPr>
          <w:rFonts w:hint="eastAsia" w:ascii="仿宋_GB2312" w:hAnsi="Times New Roman" w:eastAsia="仿宋_GB2312" w:cs="Times New Roman"/>
          <w:b/>
          <w:bCs/>
          <w:color w:val="000000"/>
          <w:kern w:val="2"/>
          <w:sz w:val="32"/>
          <w:szCs w:val="32"/>
          <w:lang w:val="en-US" w:eastAsia="zh-CN" w:bidi="ar-SA"/>
        </w:rPr>
        <w:t>其他纪检监察事务支出（项）</w:t>
      </w:r>
      <w:r>
        <w:rPr>
          <w:rFonts w:hint="eastAsia" w:ascii="仿宋_GB2312" w:hAnsi="Times New Roman" w:eastAsia="仿宋_GB2312" w:cs="Times New Roman"/>
          <w:color w:val="000000"/>
          <w:kern w:val="2"/>
          <w:sz w:val="32"/>
          <w:szCs w:val="32"/>
          <w:lang w:val="en-US" w:eastAsia="zh-CN" w:bidi="ar-SA"/>
        </w:rPr>
        <w:t>支出决算为1</w:t>
      </w:r>
      <w:r>
        <w:rPr>
          <w:rFonts w:hint="eastAsia" w:ascii="仿宋_GB2312" w:eastAsia="仿宋_GB2312" w:cs="Times New Roman"/>
          <w:color w:val="000000"/>
          <w:kern w:val="2"/>
          <w:sz w:val="32"/>
          <w:szCs w:val="32"/>
          <w:lang w:val="en-US" w:eastAsia="zh-CN" w:bidi="ar-SA"/>
        </w:rPr>
        <w:t>7</w:t>
      </w:r>
      <w:r>
        <w:rPr>
          <w:rFonts w:hint="eastAsia" w:ascii="仿宋_GB2312" w:hAnsi="Times New Roman" w:eastAsia="仿宋_GB2312" w:cs="Times New Roman"/>
          <w:color w:val="000000"/>
          <w:kern w:val="2"/>
          <w:sz w:val="32"/>
          <w:szCs w:val="32"/>
          <w:lang w:val="en-US" w:eastAsia="zh-CN" w:bidi="ar-SA"/>
        </w:rPr>
        <w:t>5.48万元，完成预算</w:t>
      </w:r>
      <w:r>
        <w:rPr>
          <w:rFonts w:hint="eastAsia" w:ascii="仿宋_GB2312" w:eastAsia="仿宋_GB2312" w:cs="Times New Roman"/>
          <w:color w:val="000000"/>
          <w:kern w:val="2"/>
          <w:sz w:val="32"/>
          <w:szCs w:val="32"/>
          <w:lang w:val="en-US" w:eastAsia="zh-CN" w:bidi="ar-SA"/>
        </w:rPr>
        <w:t>30.98</w:t>
      </w:r>
      <w:r>
        <w:rPr>
          <w:rFonts w:hint="eastAsia" w:ascii="仿宋_GB2312" w:hAnsi="Times New Roman" w:eastAsia="仿宋_GB2312" w:cs="Times New Roman"/>
          <w:color w:val="000000"/>
          <w:kern w:val="2"/>
          <w:sz w:val="32"/>
          <w:szCs w:val="32"/>
          <w:lang w:val="en-US" w:eastAsia="zh-CN" w:bidi="ar-SA"/>
        </w:rPr>
        <w:t>%，决算数小于预算数的主要原因是纪委监委业务用房及办公场所维修改造项目已完工未结算，当年未完成项目经费支出。</w:t>
      </w:r>
    </w:p>
    <w:p>
      <w:pPr>
        <w:spacing w:line="600" w:lineRule="exact"/>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2.</w:t>
      </w:r>
      <w:r>
        <w:rPr>
          <w:rStyle w:val="15"/>
          <w:rFonts w:hint="eastAsia" w:ascii="仿宋" w:hAnsi="仿宋" w:eastAsia="仿宋"/>
          <w:bCs/>
          <w:color w:val="auto"/>
          <w:sz w:val="32"/>
          <w:szCs w:val="32"/>
          <w:highlight w:val="none"/>
        </w:rPr>
        <w:t>社会保障和就业（类）人力资源和社会保障管理事务（款）其他人力资源和社会保障管理事务支出（项）</w:t>
      </w:r>
      <w:r>
        <w:rPr>
          <w:rStyle w:val="15"/>
          <w:rFonts w:hint="eastAsia" w:ascii="仿宋" w:hAnsi="仿宋" w:eastAsia="仿宋"/>
          <w:bCs/>
          <w:color w:val="auto"/>
          <w:sz w:val="32"/>
          <w:szCs w:val="32"/>
          <w:highlight w:val="none"/>
          <w:lang w:eastAsia="zh-CN"/>
        </w:rPr>
        <w:t>：</w:t>
      </w:r>
      <w:r>
        <w:rPr>
          <w:rStyle w:val="15"/>
          <w:rFonts w:ascii="仿宋" w:hAnsi="仿宋" w:eastAsia="仿宋"/>
          <w:b w:val="0"/>
          <w:bCs/>
          <w:color w:val="auto"/>
          <w:sz w:val="32"/>
          <w:szCs w:val="32"/>
          <w:highlight w:val="none"/>
        </w:rPr>
        <w:t xml:space="preserve"> </w:t>
      </w:r>
      <w:r>
        <w:rPr>
          <w:rFonts w:hint="eastAsia" w:ascii="仿宋_GB2312" w:hAnsi="Times New Roman" w:eastAsia="仿宋_GB2312" w:cs="Times New Roman"/>
          <w:color w:val="000000"/>
          <w:kern w:val="2"/>
          <w:sz w:val="32"/>
          <w:szCs w:val="32"/>
          <w:lang w:val="en-US" w:eastAsia="zh-CN" w:bidi="ar-SA"/>
        </w:rPr>
        <w:t>支出决算为4万元，完成预算100%，与预算数持平。</w:t>
      </w:r>
      <w:r>
        <w:rPr>
          <w:rStyle w:val="15"/>
          <w:rFonts w:hint="eastAsia" w:ascii="仿宋" w:hAnsi="仿宋" w:eastAsia="仿宋"/>
          <w:bCs/>
          <w:color w:val="auto"/>
          <w:sz w:val="32"/>
          <w:szCs w:val="32"/>
          <w:highlight w:val="none"/>
        </w:rPr>
        <w:t>社会保障和就业（</w:t>
      </w:r>
      <w:r>
        <w:rPr>
          <w:rStyle w:val="15"/>
          <w:rFonts w:hint="eastAsia" w:ascii="仿宋" w:hAnsi="仿宋" w:eastAsia="仿宋" w:cstheme="minorBidi"/>
          <w:bCs/>
          <w:color w:val="auto"/>
          <w:sz w:val="32"/>
          <w:szCs w:val="32"/>
          <w:highlight w:val="none"/>
        </w:rPr>
        <w:t>类）行政事业单位养老支出（款） 机关事业单位基本养老保险缴费支出（项）</w:t>
      </w:r>
      <w:r>
        <w:rPr>
          <w:rStyle w:val="15"/>
          <w:rFonts w:hint="eastAsia" w:ascii="仿宋" w:hAnsi="仿宋" w:eastAsia="仿宋" w:cstheme="minorBidi"/>
          <w:bCs/>
          <w:color w:val="auto"/>
          <w:sz w:val="32"/>
          <w:szCs w:val="32"/>
          <w:highlight w:val="none"/>
          <w:lang w:eastAsia="zh-CN"/>
        </w:rPr>
        <w:t>：</w:t>
      </w:r>
      <w:r>
        <w:rPr>
          <w:rFonts w:hint="eastAsia" w:ascii="仿宋_GB2312" w:hAnsi="Times New Roman" w:eastAsia="仿宋_GB2312" w:cs="Times New Roman"/>
          <w:color w:val="000000"/>
          <w:kern w:val="2"/>
          <w:sz w:val="32"/>
          <w:szCs w:val="32"/>
          <w:lang w:val="en-US" w:eastAsia="zh-CN" w:bidi="ar-SA"/>
        </w:rPr>
        <w:t>支出决算为</w:t>
      </w:r>
      <w:r>
        <w:rPr>
          <w:rFonts w:hint="eastAsia" w:ascii="仿宋_GB2312" w:eastAsia="仿宋_GB2312" w:cs="Times New Roman"/>
          <w:color w:val="000000"/>
          <w:kern w:val="2"/>
          <w:sz w:val="32"/>
          <w:szCs w:val="32"/>
          <w:lang w:val="en-US" w:eastAsia="zh-CN" w:bidi="ar-SA"/>
        </w:rPr>
        <w:t>137.37</w:t>
      </w:r>
      <w:r>
        <w:rPr>
          <w:rFonts w:hint="eastAsia" w:ascii="仿宋_GB2312" w:hAnsi="Times New Roman" w:eastAsia="仿宋_GB2312" w:cs="Times New Roman"/>
          <w:color w:val="000000"/>
          <w:kern w:val="2"/>
          <w:sz w:val="32"/>
          <w:szCs w:val="32"/>
          <w:lang w:val="en-US" w:eastAsia="zh-CN" w:bidi="ar-SA"/>
        </w:rPr>
        <w:t>万元，完成预算100%，与预算数持平。</w:t>
      </w:r>
      <w:r>
        <w:rPr>
          <w:rStyle w:val="15"/>
          <w:rFonts w:hint="eastAsia" w:ascii="仿宋" w:hAnsi="仿宋" w:eastAsia="仿宋"/>
          <w:bCs/>
          <w:color w:val="auto"/>
          <w:sz w:val="32"/>
          <w:szCs w:val="32"/>
          <w:highlight w:val="none"/>
        </w:rPr>
        <w:t>社会保障和就业（</w:t>
      </w:r>
      <w:r>
        <w:rPr>
          <w:rStyle w:val="15"/>
          <w:rFonts w:hint="eastAsia" w:ascii="仿宋" w:hAnsi="仿宋" w:eastAsia="仿宋" w:cstheme="minorBidi"/>
          <w:bCs/>
          <w:color w:val="auto"/>
          <w:sz w:val="32"/>
          <w:szCs w:val="32"/>
          <w:highlight w:val="none"/>
        </w:rPr>
        <w:t>类）行政事业单位养老支出（款）机关事业单位职业年金缴费支出</w:t>
      </w:r>
      <w:r>
        <w:rPr>
          <w:rStyle w:val="15"/>
          <w:rFonts w:hint="eastAsia" w:ascii="仿宋" w:hAnsi="仿宋" w:eastAsia="仿宋" w:cstheme="minorBidi"/>
          <w:bCs/>
          <w:color w:val="auto"/>
          <w:sz w:val="32"/>
          <w:szCs w:val="32"/>
          <w:highlight w:val="none"/>
          <w:lang w:eastAsia="zh-CN"/>
        </w:rPr>
        <w:t>（项）：</w:t>
      </w:r>
      <w:r>
        <w:rPr>
          <w:rFonts w:hint="eastAsia" w:ascii="仿宋_GB2312" w:hAnsi="Times New Roman" w:eastAsia="仿宋_GB2312" w:cs="Times New Roman"/>
          <w:color w:val="000000"/>
          <w:kern w:val="2"/>
          <w:sz w:val="32"/>
          <w:szCs w:val="32"/>
          <w:lang w:val="en-US" w:eastAsia="zh-CN" w:bidi="ar-SA"/>
        </w:rPr>
        <w:t>支出决算为19.</w:t>
      </w:r>
      <w:r>
        <w:rPr>
          <w:rFonts w:hint="eastAsia" w:ascii="仿宋_GB2312" w:eastAsia="仿宋_GB2312" w:cs="Times New Roman"/>
          <w:color w:val="000000"/>
          <w:kern w:val="2"/>
          <w:sz w:val="32"/>
          <w:szCs w:val="32"/>
          <w:lang w:val="en-US" w:eastAsia="zh-CN" w:bidi="ar-SA"/>
        </w:rPr>
        <w:t>44</w:t>
      </w:r>
      <w:r>
        <w:rPr>
          <w:rFonts w:hint="eastAsia" w:ascii="仿宋_GB2312" w:hAnsi="Times New Roman" w:eastAsia="仿宋_GB2312" w:cs="Times New Roman"/>
          <w:color w:val="000000"/>
          <w:kern w:val="2"/>
          <w:sz w:val="32"/>
          <w:szCs w:val="32"/>
          <w:lang w:val="en-US" w:eastAsia="zh-CN" w:bidi="ar-SA"/>
        </w:rPr>
        <w:t>万元，完成预算100%，与预算数持平。</w:t>
      </w:r>
      <w:r>
        <w:rPr>
          <w:rStyle w:val="15"/>
          <w:rFonts w:hint="eastAsia" w:ascii="仿宋" w:hAnsi="仿宋" w:eastAsia="仿宋"/>
          <w:bCs/>
          <w:color w:val="auto"/>
          <w:sz w:val="32"/>
          <w:szCs w:val="32"/>
          <w:highlight w:val="none"/>
        </w:rPr>
        <w:t>社会保障和就业（</w:t>
      </w:r>
      <w:r>
        <w:rPr>
          <w:rStyle w:val="15"/>
          <w:rFonts w:hint="eastAsia" w:ascii="仿宋" w:hAnsi="仿宋" w:eastAsia="仿宋" w:cstheme="minorBidi"/>
          <w:bCs/>
          <w:color w:val="auto"/>
          <w:sz w:val="32"/>
          <w:szCs w:val="32"/>
          <w:highlight w:val="none"/>
        </w:rPr>
        <w:t>类）其他社会保障和就业支出（款）其他社会保障和就业支出</w:t>
      </w:r>
      <w:r>
        <w:rPr>
          <w:rStyle w:val="15"/>
          <w:rFonts w:hint="eastAsia" w:ascii="仿宋" w:hAnsi="仿宋" w:eastAsia="仿宋" w:cstheme="minorBidi"/>
          <w:bCs/>
          <w:color w:val="auto"/>
          <w:sz w:val="32"/>
          <w:szCs w:val="32"/>
          <w:highlight w:val="none"/>
          <w:lang w:eastAsia="zh-CN"/>
        </w:rPr>
        <w:t>（项）：</w:t>
      </w:r>
      <w:r>
        <w:rPr>
          <w:rFonts w:hint="eastAsia" w:ascii="仿宋_GB2312" w:hAnsi="Times New Roman" w:eastAsia="仿宋_GB2312" w:cs="Times New Roman"/>
          <w:color w:val="000000"/>
          <w:kern w:val="2"/>
          <w:sz w:val="32"/>
          <w:szCs w:val="32"/>
          <w:lang w:val="en-US" w:eastAsia="zh-CN" w:bidi="ar-SA"/>
        </w:rPr>
        <w:t>支出决算为</w:t>
      </w:r>
      <w:r>
        <w:rPr>
          <w:rFonts w:hint="eastAsia" w:ascii="仿宋_GB2312" w:eastAsia="仿宋_GB2312" w:cs="Times New Roman"/>
          <w:color w:val="000000"/>
          <w:kern w:val="2"/>
          <w:sz w:val="32"/>
          <w:szCs w:val="32"/>
          <w:lang w:val="en-US" w:eastAsia="zh-CN" w:bidi="ar-SA"/>
        </w:rPr>
        <w:t>6.78</w:t>
      </w:r>
      <w:r>
        <w:rPr>
          <w:rFonts w:hint="eastAsia" w:ascii="仿宋_GB2312" w:hAnsi="Times New Roman" w:eastAsia="仿宋_GB2312" w:cs="Times New Roman"/>
          <w:color w:val="000000"/>
          <w:kern w:val="2"/>
          <w:sz w:val="32"/>
          <w:szCs w:val="32"/>
          <w:lang w:val="en-US" w:eastAsia="zh-CN" w:bidi="ar-SA"/>
        </w:rPr>
        <w:t>万元，完成预算100%，与预算数持平。</w:t>
      </w:r>
    </w:p>
    <w:p>
      <w:pPr>
        <w:spacing w:line="600" w:lineRule="exact"/>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3.</w:t>
      </w:r>
      <w:r>
        <w:rPr>
          <w:rFonts w:hint="eastAsia" w:ascii="仿宋" w:hAnsi="仿宋" w:eastAsia="仿宋"/>
          <w:b/>
          <w:bCs/>
          <w:color w:val="auto"/>
          <w:sz w:val="32"/>
          <w:szCs w:val="32"/>
          <w:highlight w:val="none"/>
        </w:rPr>
        <w:t>卫生健康</w:t>
      </w:r>
      <w:r>
        <w:rPr>
          <w:rStyle w:val="15"/>
          <w:rFonts w:hint="eastAsia" w:ascii="仿宋" w:hAnsi="仿宋" w:eastAsia="仿宋"/>
          <w:bCs/>
          <w:color w:val="auto"/>
          <w:sz w:val="32"/>
          <w:szCs w:val="32"/>
          <w:highlight w:val="none"/>
        </w:rPr>
        <w:t>（类）行政事业单位医疗（款）</w:t>
      </w:r>
      <w:r>
        <w:rPr>
          <w:rStyle w:val="15"/>
          <w:rFonts w:hint="eastAsia" w:ascii="仿宋" w:hAnsi="仿宋" w:eastAsia="仿宋"/>
          <w:bCs/>
          <w:color w:val="auto"/>
          <w:sz w:val="32"/>
          <w:szCs w:val="32"/>
          <w:highlight w:val="none"/>
          <w:lang w:eastAsia="zh-CN"/>
        </w:rPr>
        <w:t>：</w:t>
      </w:r>
      <w:r>
        <w:rPr>
          <w:rStyle w:val="15"/>
          <w:rFonts w:hint="eastAsia" w:ascii="仿宋" w:hAnsi="仿宋" w:eastAsia="仿宋"/>
          <w:bCs/>
          <w:color w:val="auto"/>
          <w:sz w:val="32"/>
          <w:szCs w:val="32"/>
          <w:highlight w:val="none"/>
        </w:rPr>
        <w:t>行政单位医疗（项）</w:t>
      </w:r>
      <w:r>
        <w:rPr>
          <w:rFonts w:hint="eastAsia" w:ascii="仿宋_GB2312" w:hAnsi="Times New Roman" w:eastAsia="仿宋_GB2312" w:cs="Times New Roman"/>
          <w:color w:val="000000"/>
          <w:kern w:val="2"/>
          <w:sz w:val="32"/>
          <w:szCs w:val="32"/>
          <w:lang w:val="en-US" w:eastAsia="zh-CN" w:bidi="ar-SA"/>
        </w:rPr>
        <w:t>支出决算为77.65万元，完成预算100%，与预算数持平。</w:t>
      </w:r>
    </w:p>
    <w:p>
      <w:pPr>
        <w:spacing w:line="600" w:lineRule="exact"/>
        <w:ind w:firstLine="640" w:firstLineChars="200"/>
        <w:rPr>
          <w:rFonts w:ascii="仿宋" w:hAnsi="仿宋" w:eastAsia="仿宋"/>
          <w:b/>
          <w:color w:val="auto"/>
          <w:sz w:val="32"/>
          <w:szCs w:val="32"/>
          <w:highlight w:val="none"/>
        </w:rPr>
      </w:pPr>
      <w:r>
        <w:rPr>
          <w:rFonts w:hint="eastAsia" w:ascii="仿宋_GB2312" w:hAnsi="Times New Roman" w:eastAsia="仿宋_GB2312" w:cs="Times New Roman"/>
          <w:color w:val="000000"/>
          <w:kern w:val="2"/>
          <w:sz w:val="32"/>
          <w:szCs w:val="32"/>
          <w:lang w:val="en-US" w:eastAsia="zh-CN" w:bidi="ar-SA"/>
        </w:rPr>
        <w:t>4.</w:t>
      </w:r>
      <w:r>
        <w:rPr>
          <w:rStyle w:val="15"/>
          <w:rFonts w:hint="eastAsia" w:ascii="仿宋" w:hAnsi="仿宋" w:eastAsia="仿宋"/>
          <w:bCs/>
          <w:color w:val="auto"/>
          <w:sz w:val="32"/>
          <w:szCs w:val="32"/>
          <w:highlight w:val="none"/>
          <w:lang w:val="en-US" w:eastAsia="zh-CN"/>
        </w:rPr>
        <w:t>住</w:t>
      </w:r>
      <w:r>
        <w:rPr>
          <w:rStyle w:val="15"/>
          <w:rFonts w:hint="eastAsia" w:ascii="仿宋" w:hAnsi="仿宋" w:eastAsia="仿宋"/>
          <w:bCs/>
          <w:color w:val="auto"/>
          <w:sz w:val="32"/>
          <w:szCs w:val="32"/>
          <w:highlight w:val="none"/>
        </w:rPr>
        <w:t>房</w:t>
      </w:r>
      <w:r>
        <w:rPr>
          <w:rFonts w:hint="eastAsia" w:ascii="仿宋" w:hAnsi="仿宋" w:eastAsia="仿宋"/>
          <w:b/>
          <w:color w:val="000000"/>
          <w:sz w:val="32"/>
          <w:szCs w:val="32"/>
        </w:rPr>
        <w:t>保障支出（类）住房改革支出（款）：住房公积金（项）</w:t>
      </w:r>
      <w:r>
        <w:rPr>
          <w:rFonts w:hint="eastAsia" w:ascii="仿宋_GB2312" w:hAnsi="Times New Roman" w:eastAsia="仿宋_GB2312" w:cs="Times New Roman"/>
          <w:color w:val="000000"/>
          <w:kern w:val="2"/>
          <w:sz w:val="32"/>
          <w:szCs w:val="32"/>
          <w:lang w:val="en-US" w:eastAsia="zh-CN" w:bidi="ar-SA"/>
        </w:rPr>
        <w:t>支出决算</w:t>
      </w:r>
      <w:r>
        <w:rPr>
          <w:rFonts w:hint="eastAsia" w:ascii="仿宋_GB2312" w:eastAsia="仿宋_GB2312" w:cs="Times New Roman"/>
          <w:color w:val="000000"/>
          <w:kern w:val="2"/>
          <w:sz w:val="32"/>
          <w:szCs w:val="32"/>
          <w:lang w:val="en-US" w:eastAsia="zh-CN" w:bidi="ar-SA"/>
        </w:rPr>
        <w:t>176.07</w:t>
      </w:r>
      <w:r>
        <w:rPr>
          <w:rFonts w:hint="eastAsia" w:ascii="仿宋_GB2312" w:hAnsi="Times New Roman" w:eastAsia="仿宋_GB2312" w:cs="Times New Roman"/>
          <w:color w:val="000000"/>
          <w:kern w:val="2"/>
          <w:sz w:val="32"/>
          <w:szCs w:val="32"/>
          <w:lang w:val="en-US" w:eastAsia="zh-CN" w:bidi="ar-SA"/>
        </w:rPr>
        <w:t>万元，完成预算100%，与预算数持平。</w:t>
      </w:r>
    </w:p>
    <w:p>
      <w:pPr>
        <w:tabs>
          <w:tab w:val="right" w:pos="8306"/>
        </w:tabs>
        <w:spacing w:line="600" w:lineRule="exact"/>
        <w:ind w:firstLine="640"/>
        <w:outlineLvl w:val="1"/>
        <w:rPr>
          <w:rStyle w:val="26"/>
          <w:color w:val="auto"/>
          <w:highlight w:val="none"/>
        </w:rPr>
      </w:pPr>
      <w:bookmarkStart w:id="34" w:name="_Toc15396608"/>
      <w:bookmarkStart w:id="35" w:name="_Toc15377214"/>
      <w:r>
        <w:rPr>
          <w:rFonts w:hint="eastAsia" w:ascii="黑体" w:eastAsia="黑体"/>
          <w:color w:val="auto"/>
          <w:sz w:val="32"/>
          <w:szCs w:val="32"/>
          <w:highlight w:val="none"/>
        </w:rPr>
        <w:t>六</w:t>
      </w:r>
      <w:r>
        <w:rPr>
          <w:rFonts w:hint="eastAsia" w:ascii="黑体" w:eastAsia="黑体"/>
          <w:b/>
          <w:color w:val="auto"/>
          <w:sz w:val="32"/>
          <w:szCs w:val="32"/>
          <w:highlight w:val="none"/>
        </w:rPr>
        <w:t>、</w:t>
      </w:r>
      <w:r>
        <w:rPr>
          <w:rFonts w:hint="eastAsia" w:ascii="黑体" w:hAnsi="黑体" w:eastAsia="黑体"/>
          <w:b/>
          <w:color w:val="auto"/>
          <w:sz w:val="32"/>
          <w:szCs w:val="32"/>
          <w:highlight w:val="none"/>
        </w:rPr>
        <w:t>一</w:t>
      </w:r>
      <w:r>
        <w:rPr>
          <w:rStyle w:val="26"/>
          <w:rFonts w:hint="eastAsia" w:ascii="黑体" w:hAnsi="黑体" w:eastAsia="黑体"/>
          <w:b w:val="0"/>
          <w:color w:val="auto"/>
          <w:highlight w:val="none"/>
        </w:rPr>
        <w:t>般公共预算财政拨款基本支出决算情况说明</w:t>
      </w:r>
      <w:bookmarkEnd w:id="34"/>
      <w:bookmarkEnd w:id="35"/>
      <w:r>
        <w:rPr>
          <w:rStyle w:val="26"/>
          <w:rFonts w:ascii="黑体" w:hAnsi="黑体" w:eastAsia="黑体"/>
          <w:b w:val="0"/>
          <w:color w:val="auto"/>
          <w:highlight w:val="none"/>
        </w:rPr>
        <w:tab/>
      </w:r>
    </w:p>
    <w:p>
      <w:pPr>
        <w:spacing w:line="600" w:lineRule="exact"/>
        <w:ind w:firstLine="645"/>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年一般公共预算财政拨款基本支出2434.9万元，其中：</w:t>
      </w:r>
    </w:p>
    <w:p>
      <w:pPr>
        <w:spacing w:line="600" w:lineRule="exact"/>
        <w:ind w:firstLine="645"/>
        <w:rPr>
          <w:rFonts w:hint="eastAsia" w:ascii="仿宋_GB2312" w:hAnsi="Times New Roman" w:eastAsia="仿宋_GB2312" w:cs="Times New Roman"/>
          <w:color w:val="000000"/>
          <w:kern w:val="2"/>
          <w:sz w:val="32"/>
          <w:szCs w:val="32"/>
          <w:lang w:val="en-US" w:eastAsia="zh-CN" w:bidi="ar-SA"/>
        </w:rPr>
      </w:pPr>
      <w:r>
        <w:rPr>
          <w:rFonts w:hint="eastAsia" w:ascii="仿宋_GB2312" w:hAnsi="仿宋_GB2312" w:eastAsia="仿宋_GB2312" w:cs="仿宋_GB2312"/>
          <w:color w:val="auto"/>
          <w:sz w:val="32"/>
          <w:szCs w:val="32"/>
          <w:highlight w:val="none"/>
        </w:rPr>
        <w:t>人员经费</w:t>
      </w:r>
      <w:r>
        <w:rPr>
          <w:rFonts w:hint="eastAsia" w:ascii="仿宋_GB2312" w:hAnsi="仿宋_GB2312" w:eastAsia="仿宋_GB2312" w:cs="仿宋_GB2312"/>
          <w:color w:val="auto"/>
          <w:sz w:val="32"/>
          <w:szCs w:val="32"/>
          <w:highlight w:val="none"/>
          <w:lang w:val="en-US" w:eastAsia="zh-CN"/>
        </w:rPr>
        <w:t>2120.25</w:t>
      </w:r>
      <w:r>
        <w:rPr>
          <w:rFonts w:hint="eastAsia" w:ascii="仿宋_GB2312" w:hAnsi="仿宋_GB2312" w:eastAsia="仿宋_GB2312" w:cs="仿宋_GB2312"/>
          <w:color w:val="auto"/>
          <w:sz w:val="32"/>
          <w:szCs w:val="32"/>
          <w:highlight w:val="none"/>
        </w:rPr>
        <w:t>万元，</w:t>
      </w:r>
      <w:r>
        <w:rPr>
          <w:rFonts w:hint="eastAsia" w:ascii="仿宋_GB2312" w:hAnsi="Times New Roman" w:eastAsia="仿宋_GB2312" w:cs="Times New Roman"/>
          <w:color w:val="000000"/>
          <w:kern w:val="2"/>
          <w:sz w:val="32"/>
          <w:szCs w:val="32"/>
          <w:lang w:val="en-US" w:eastAsia="zh-CN" w:bidi="ar-SA"/>
        </w:rPr>
        <w:t>主要包括：基本工资、津贴补贴、奖金、绩效工资、机关事业单位基本养老保险缴费、职业年金缴费、职工基本医疗保险缴费、其他社会保障缴费、住房公积金、其他工资福利支出、生活补助、其他对个人和家庭的补助支出等。</w:t>
      </w:r>
    </w:p>
    <w:p>
      <w:pPr>
        <w:spacing w:line="600" w:lineRule="exact"/>
        <w:ind w:firstLine="640" w:firstLineChars="200"/>
        <w:rPr>
          <w:rFonts w:ascii="仿宋" w:hAnsi="仿宋" w:eastAsia="仿宋"/>
          <w:b/>
          <w:color w:val="auto"/>
          <w:sz w:val="32"/>
          <w:szCs w:val="32"/>
          <w:highlight w:val="none"/>
        </w:rPr>
      </w:pPr>
      <w:r>
        <w:rPr>
          <w:rFonts w:hint="eastAsia" w:ascii="仿宋_GB2312" w:hAnsi="仿宋_GB2312" w:eastAsia="仿宋_GB2312" w:cs="仿宋_GB2312"/>
          <w:color w:val="auto"/>
          <w:sz w:val="32"/>
          <w:szCs w:val="32"/>
          <w:highlight w:val="none"/>
        </w:rPr>
        <w:t>公用经费</w:t>
      </w:r>
      <w:r>
        <w:rPr>
          <w:rFonts w:hint="eastAsia" w:ascii="仿宋_GB2312" w:hAnsi="仿宋_GB2312" w:eastAsia="仿宋_GB2312" w:cs="仿宋_GB2312"/>
          <w:color w:val="auto"/>
          <w:sz w:val="32"/>
          <w:szCs w:val="32"/>
          <w:highlight w:val="none"/>
          <w:lang w:val="en-US" w:eastAsia="zh-CN"/>
        </w:rPr>
        <w:t>314.65</w:t>
      </w:r>
      <w:r>
        <w:rPr>
          <w:rFonts w:hint="eastAsia" w:ascii="仿宋_GB2312" w:hAnsi="仿宋_GB2312" w:eastAsia="仿宋_GB2312" w:cs="仿宋_GB2312"/>
          <w:color w:val="auto"/>
          <w:sz w:val="32"/>
          <w:szCs w:val="32"/>
          <w:highlight w:val="none"/>
        </w:rPr>
        <w:t>万元，</w:t>
      </w:r>
      <w:r>
        <w:rPr>
          <w:rFonts w:hint="eastAsia" w:ascii="仿宋_GB2312" w:hAnsi="Times New Roman" w:eastAsia="仿宋_GB2312" w:cs="Times New Roman"/>
          <w:color w:val="000000"/>
          <w:kern w:val="2"/>
          <w:sz w:val="32"/>
          <w:szCs w:val="32"/>
          <w:lang w:val="en-US" w:eastAsia="zh-CN" w:bidi="ar-SA"/>
        </w:rPr>
        <w:t>主要包括：办公费、印刷费、水费、电费、邮电费、物业管理费、差旅费、维修（护）费、租赁费、会议费、培训费、公务接待费、劳务费、工会经费、福利费、公务用车运行维护费、其他交通费</w:t>
      </w:r>
      <w:r>
        <w:rPr>
          <w:rFonts w:hint="eastAsia" w:ascii="仿宋_GB2312" w:eastAsia="仿宋_GB2312" w:cs="Times New Roman"/>
          <w:color w:val="000000"/>
          <w:kern w:val="2"/>
          <w:sz w:val="32"/>
          <w:szCs w:val="32"/>
          <w:lang w:val="en-US" w:eastAsia="zh-CN" w:bidi="ar-SA"/>
        </w:rPr>
        <w:t>用</w:t>
      </w:r>
      <w:r>
        <w:rPr>
          <w:rFonts w:hint="eastAsia" w:ascii="仿宋_GB2312" w:hAnsi="Times New Roman" w:eastAsia="仿宋_GB2312" w:cs="Times New Roman"/>
          <w:color w:val="000000"/>
          <w:kern w:val="2"/>
          <w:sz w:val="32"/>
          <w:szCs w:val="32"/>
          <w:lang w:val="en-US" w:eastAsia="zh-CN" w:bidi="ar-SA"/>
        </w:rPr>
        <w:t>、其他商品和服务支出。</w:t>
      </w:r>
    </w:p>
    <w:p>
      <w:pPr>
        <w:spacing w:line="600" w:lineRule="exact"/>
        <w:ind w:firstLine="640"/>
        <w:outlineLvl w:val="1"/>
        <w:rPr>
          <w:rStyle w:val="26"/>
          <w:rFonts w:ascii="黑体" w:hAnsi="黑体" w:eastAsia="黑体"/>
          <w:b w:val="0"/>
          <w:color w:val="auto"/>
          <w:highlight w:val="none"/>
        </w:rPr>
      </w:pPr>
      <w:bookmarkStart w:id="36" w:name="_Toc15396609"/>
      <w:bookmarkStart w:id="37" w:name="_Toc15377215"/>
      <w:r>
        <w:rPr>
          <w:rFonts w:hint="eastAsia" w:ascii="黑体" w:eastAsia="黑体"/>
          <w:color w:val="auto"/>
          <w:sz w:val="32"/>
          <w:szCs w:val="32"/>
          <w:highlight w:val="none"/>
        </w:rPr>
        <w:t>七、</w:t>
      </w:r>
      <w:r>
        <w:rPr>
          <w:rStyle w:val="26"/>
          <w:rFonts w:hint="eastAsia" w:ascii="黑体" w:hAnsi="黑体" w:eastAsia="黑体"/>
          <w:b w:val="0"/>
          <w:color w:val="auto"/>
          <w:highlight w:val="none"/>
        </w:rPr>
        <w:t>财政拨款</w:t>
      </w:r>
      <w:r>
        <w:rPr>
          <w:rStyle w:val="26"/>
          <w:rFonts w:hint="eastAsia" w:ascii="黑体" w:hAnsi="黑体" w:eastAsia="黑体"/>
          <w:color w:val="auto"/>
          <w:highlight w:val="none"/>
        </w:rPr>
        <w:t>“</w:t>
      </w:r>
      <w:r>
        <w:rPr>
          <w:rStyle w:val="26"/>
          <w:rFonts w:hint="eastAsia" w:ascii="黑体" w:hAnsi="黑体" w:eastAsia="黑体"/>
          <w:b w:val="0"/>
          <w:color w:val="auto"/>
          <w:highlight w:val="none"/>
        </w:rPr>
        <w:t>三公”经费支出决算情况说明</w:t>
      </w:r>
      <w:bookmarkEnd w:id="36"/>
      <w:bookmarkEnd w:id="37"/>
    </w:p>
    <w:p>
      <w:pPr>
        <w:spacing w:line="600" w:lineRule="exact"/>
        <w:ind w:firstLine="640"/>
        <w:outlineLvl w:val="2"/>
        <w:rPr>
          <w:rFonts w:ascii="仿宋" w:hAnsi="仿宋" w:eastAsia="仿宋"/>
          <w:b/>
          <w:color w:val="auto"/>
          <w:sz w:val="32"/>
          <w:szCs w:val="32"/>
          <w:highlight w:val="none"/>
        </w:rPr>
      </w:pPr>
      <w:bookmarkStart w:id="38" w:name="_Toc15377216"/>
      <w:r>
        <w:rPr>
          <w:rFonts w:hint="eastAsia" w:ascii="仿宋" w:hAnsi="仿宋" w:eastAsia="仿宋"/>
          <w:b/>
          <w:color w:val="auto"/>
          <w:sz w:val="32"/>
          <w:szCs w:val="32"/>
          <w:highlight w:val="none"/>
        </w:rPr>
        <w:t>（一）“三公”经费财政拨款支出决算总体情况说明</w:t>
      </w:r>
      <w:bookmarkEnd w:id="38"/>
    </w:p>
    <w:p>
      <w:pPr>
        <w:spacing w:line="600" w:lineRule="exact"/>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2022年“三公”经费财政拨款支出决算为49.2万元，完成预算80.66%，较上年减少2.13万元，下降4.15%。决算数小于预算数的主要原因是贯彻落实中央、省、市关于厉行节约的各项要求，从严控制“三公”经费开支。</w:t>
      </w:r>
    </w:p>
    <w:p>
      <w:pPr>
        <w:spacing w:line="600" w:lineRule="exact"/>
        <w:ind w:firstLine="640"/>
        <w:outlineLvl w:val="2"/>
        <w:rPr>
          <w:rFonts w:ascii="仿宋" w:hAnsi="仿宋" w:eastAsia="仿宋"/>
          <w:b/>
          <w:color w:val="auto"/>
          <w:sz w:val="32"/>
          <w:szCs w:val="32"/>
          <w:highlight w:val="none"/>
        </w:rPr>
      </w:pPr>
      <w:bookmarkStart w:id="39" w:name="_Toc15377217"/>
      <w:r>
        <w:rPr>
          <w:rFonts w:hint="eastAsia" w:ascii="仿宋" w:hAnsi="仿宋" w:eastAsia="仿宋"/>
          <w:b/>
          <w:color w:val="auto"/>
          <w:sz w:val="32"/>
          <w:szCs w:val="32"/>
          <w:highlight w:val="none"/>
        </w:rPr>
        <w:t>（二）“三公”经费财政拨款支出决算具体情况说明</w:t>
      </w:r>
      <w:bookmarkEnd w:id="39"/>
    </w:p>
    <w:p>
      <w:pPr>
        <w:spacing w:line="600" w:lineRule="exact"/>
        <w:ind w:firstLine="640"/>
        <w:rPr>
          <w:rFonts w:hint="eastAsia" w:ascii="仿宋" w:hAnsi="仿宋" w:eastAsia="仿宋"/>
          <w:color w:val="auto"/>
          <w:sz w:val="32"/>
          <w:szCs w:val="32"/>
          <w:highlight w:val="none"/>
        </w:rPr>
      </w:pPr>
      <w:r>
        <w:rPr>
          <w:rFonts w:hint="eastAsia" w:ascii="仿宋_GB2312" w:hAnsi="Times New Roman" w:eastAsia="仿宋_GB2312" w:cs="Times New Roman"/>
          <w:color w:val="000000"/>
          <w:kern w:val="2"/>
          <w:sz w:val="32"/>
          <w:szCs w:val="32"/>
          <w:lang w:val="en-US" w:eastAsia="zh-CN" w:bidi="ar-SA"/>
        </w:rPr>
        <w:t>2022年“三公”经费财政拨款支出决算中，因公出国（境）费支出决算0万元，占0%；公务用车购置及运行维护费支出决算44.81万元，占91.08%；公务接待费支出决算4.39万元，占8.92%。具体情况如下：</w:t>
      </w:r>
    </w:p>
    <w:p>
      <w:pPr>
        <w:pStyle w:val="6"/>
        <w:ind w:left="638" w:leftChars="304" w:firstLine="0" w:firstLineChars="0"/>
        <w:rPr>
          <w:rFonts w:hint="eastAsia" w:ascii="仿宋" w:hAnsi="仿宋" w:eastAsia="仿宋"/>
          <w:color w:val="auto"/>
          <w:sz w:val="32"/>
          <w:szCs w:val="32"/>
          <w:highlight w:val="none"/>
        </w:rPr>
      </w:pPr>
      <w:r>
        <w:rPr>
          <w:rFonts w:hint="eastAsia" w:ascii="仿宋" w:hAnsi="仿宋" w:eastAsia="仿宋"/>
          <w:color w:val="auto"/>
          <w:sz w:val="32"/>
          <w:szCs w:val="32"/>
          <w:highlight w:val="none"/>
          <w:lang w:eastAsia="zh-CN"/>
        </w:rPr>
        <w:drawing>
          <wp:inline distT="0" distB="0" distL="114300" distR="114300">
            <wp:extent cx="5168265" cy="2661920"/>
            <wp:effectExtent l="4445" t="4445" r="8890" b="1968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（图7：“三公”经费财政拨款支出结构）（饼状图）</w:t>
      </w:r>
    </w:p>
    <w:p>
      <w:pPr>
        <w:pStyle w:val="31"/>
        <w:ind w:left="0" w:leftChars="0" w:firstLine="642" w:firstLineChars="200"/>
        <w:jc w:val="left"/>
      </w:pPr>
      <w:r>
        <w:rPr>
          <w:rFonts w:ascii="仿宋_GB2312" w:eastAsia="仿宋_GB2312"/>
          <w:b/>
          <w:color w:val="auto"/>
          <w:sz w:val="32"/>
          <w:szCs w:val="32"/>
          <w:highlight w:val="none"/>
        </w:rPr>
        <w:t>1.</w:t>
      </w:r>
      <w:r>
        <w:rPr>
          <w:rFonts w:hint="eastAsia" w:ascii="仿宋_GB2312" w:eastAsia="仿宋_GB2312"/>
          <w:b/>
          <w:color w:val="auto"/>
          <w:sz w:val="32"/>
          <w:szCs w:val="32"/>
          <w:highlight w:val="none"/>
        </w:rPr>
        <w:t>因公出国（境）经费支出</w:t>
      </w:r>
      <w:r>
        <w:rPr>
          <w:rFonts w:hint="eastAsia" w:ascii="仿宋_GB2312" w:hAnsi="Times New Roman" w:eastAsia="仿宋_GB2312" w:cs="Times New Roman"/>
          <w:color w:val="000000"/>
          <w:kern w:val="2"/>
          <w:sz w:val="32"/>
          <w:szCs w:val="32"/>
          <w:lang w:val="en-US" w:eastAsia="zh-CN" w:bidi="ar-SA"/>
        </w:rPr>
        <w:t>0万元，年初未安排预算，因公出国（境）支出决算较2021年无变化。</w:t>
      </w:r>
    </w:p>
    <w:p>
      <w:pPr>
        <w:spacing w:line="600" w:lineRule="exact"/>
        <w:ind w:firstLine="640"/>
        <w:rPr>
          <w:rFonts w:ascii="仿宋_GB2312" w:eastAsia="仿宋_GB2312"/>
          <w:b/>
          <w:color w:val="auto"/>
          <w:sz w:val="32"/>
          <w:szCs w:val="32"/>
          <w:highlight w:val="none"/>
        </w:rPr>
      </w:pPr>
      <w:r>
        <w:rPr>
          <w:rFonts w:ascii="仿宋_GB2312" w:eastAsia="仿宋_GB2312"/>
          <w:b/>
          <w:color w:val="auto"/>
          <w:sz w:val="32"/>
          <w:szCs w:val="32"/>
          <w:highlight w:val="none"/>
        </w:rPr>
        <w:t>2.</w:t>
      </w:r>
      <w:r>
        <w:rPr>
          <w:rFonts w:hint="eastAsia" w:ascii="仿宋_GB2312" w:eastAsia="仿宋_GB2312"/>
          <w:b/>
          <w:color w:val="auto"/>
          <w:sz w:val="32"/>
          <w:szCs w:val="32"/>
          <w:highlight w:val="none"/>
        </w:rPr>
        <w:t>公务用车购置及运行维护费支出</w:t>
      </w:r>
      <w:r>
        <w:rPr>
          <w:rFonts w:hint="eastAsia" w:ascii="仿宋_GB2312" w:hAnsi="Times New Roman" w:eastAsia="仿宋_GB2312" w:cs="Times New Roman"/>
          <w:color w:val="000000"/>
          <w:kern w:val="2"/>
          <w:sz w:val="32"/>
          <w:szCs w:val="32"/>
          <w:lang w:val="en-US" w:eastAsia="zh-CN" w:bidi="ar-SA"/>
        </w:rPr>
        <w:t>44.81万元</w:t>
      </w:r>
      <w:r>
        <w:rPr>
          <w:rFonts w:hint="eastAsia" w:ascii="仿宋_GB2312" w:eastAsia="仿宋_GB2312" w:cs="Times New Roman"/>
          <w:color w:val="000000"/>
          <w:kern w:val="2"/>
          <w:sz w:val="32"/>
          <w:szCs w:val="32"/>
          <w:lang w:val="en-US" w:eastAsia="zh-CN" w:bidi="ar-SA"/>
        </w:rPr>
        <w:t>，</w:t>
      </w:r>
      <w:r>
        <w:rPr>
          <w:rFonts w:hint="eastAsia" w:ascii="仿宋_GB2312" w:hAnsi="Times New Roman" w:eastAsia="仿宋_GB2312" w:cs="Times New Roman"/>
          <w:color w:val="000000"/>
          <w:kern w:val="2"/>
          <w:sz w:val="32"/>
          <w:szCs w:val="32"/>
          <w:lang w:val="en-US" w:eastAsia="zh-CN" w:bidi="ar-SA"/>
        </w:rPr>
        <w:t>完成预算84.55%。公务用车购置及运行维护费支出决算比2021年减少2.62万元，下降5.49%。主要原因是：一是贯彻落实中央、省、市关于厉行节约的各项要求，从严控制“三公”经费开支；二是部分“三公”经费于年底发生，当年未完成支付。</w:t>
      </w:r>
    </w:p>
    <w:p>
      <w:pPr>
        <w:spacing w:line="600" w:lineRule="exact"/>
        <w:ind w:firstLine="640" w:firstLineChars="200"/>
        <w:rPr>
          <w:rFonts w:ascii="仿宋_GB2312" w:eastAsia="仿宋_GB2312"/>
          <w:b/>
          <w:color w:val="auto"/>
          <w:sz w:val="32"/>
          <w:szCs w:val="32"/>
          <w:highlight w:val="none"/>
        </w:rPr>
      </w:pPr>
      <w:r>
        <w:rPr>
          <w:rFonts w:hint="eastAsia" w:ascii="仿宋_GB2312" w:eastAsia="仿宋_GB2312"/>
          <w:color w:val="auto"/>
          <w:sz w:val="32"/>
          <w:szCs w:val="32"/>
          <w:highlight w:val="none"/>
        </w:rPr>
        <w:t>其中：</w:t>
      </w:r>
      <w:r>
        <w:rPr>
          <w:rFonts w:hint="eastAsia" w:ascii="仿宋_GB2312" w:eastAsia="仿宋_GB2312"/>
          <w:b/>
          <w:color w:val="auto"/>
          <w:sz w:val="32"/>
          <w:szCs w:val="32"/>
          <w:highlight w:val="none"/>
        </w:rPr>
        <w:t>公务用车购置支出</w:t>
      </w:r>
      <w:r>
        <w:rPr>
          <w:rFonts w:hint="eastAsia" w:ascii="仿宋_GB2312" w:eastAsia="仿宋_GB2312"/>
          <w:color w:val="000000"/>
          <w:sz w:val="32"/>
          <w:szCs w:val="32"/>
        </w:rPr>
        <w:t>0</w:t>
      </w:r>
      <w:r>
        <w:rPr>
          <w:rFonts w:hint="eastAsia" w:ascii="仿宋_GB2312" w:hAnsi="仿宋_GB2312" w:eastAsia="仿宋_GB2312" w:cs="仿宋_GB2312"/>
          <w:bCs/>
          <w:color w:val="000000"/>
          <w:kern w:val="0"/>
          <w:sz w:val="32"/>
          <w:szCs w:val="32"/>
          <w:lang w:val="en-US" w:eastAsia="zh-CN" w:bidi="ar-SA"/>
        </w:rPr>
        <w:t>万元。</w:t>
      </w:r>
      <w:r>
        <w:rPr>
          <w:rFonts w:hint="eastAsia" w:ascii="仿宋_GB2312" w:hAnsi="仿宋_GB2312" w:eastAsia="仿宋_GB2312" w:cs="仿宋_GB2312"/>
          <w:bCs/>
          <w:color w:val="000000"/>
          <w:kern w:val="0"/>
          <w:sz w:val="32"/>
          <w:szCs w:val="32"/>
          <w:highlight w:val="none"/>
          <w:lang w:val="en-US" w:eastAsia="zh-CN" w:bidi="ar-SA"/>
        </w:rPr>
        <w:t>全年按规定更新购置公务用车0辆，截至2022年12月底，单位共有公务用车9辆，其中：</w:t>
      </w:r>
      <w:r>
        <w:rPr>
          <w:rFonts w:hint="eastAsia" w:ascii="仿宋_GB2312" w:eastAsia="仿宋_GB2312"/>
          <w:color w:val="auto"/>
          <w:sz w:val="32"/>
          <w:szCs w:val="32"/>
          <w:highlight w:val="none"/>
        </w:rPr>
        <w:t>轿车</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辆、越野车</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辆、载客汽车</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辆</w:t>
      </w:r>
      <w:r>
        <w:rPr>
          <w:rFonts w:hint="eastAsia" w:ascii="仿宋_GB2312" w:eastAsia="仿宋_GB2312"/>
          <w:color w:val="auto"/>
          <w:sz w:val="32"/>
          <w:szCs w:val="32"/>
          <w:highlight w:val="none"/>
          <w:lang w:eastAsia="zh-CN"/>
        </w:rPr>
        <w:t>。</w:t>
      </w:r>
    </w:p>
    <w:p>
      <w:pPr>
        <w:spacing w:line="600" w:lineRule="exact"/>
        <w:ind w:firstLine="640"/>
        <w:rPr>
          <w:rFonts w:hint="eastAsia" w:ascii="仿宋_GB2312" w:eastAsia="仿宋_GB2312"/>
          <w:color w:val="auto"/>
          <w:sz w:val="32"/>
          <w:szCs w:val="32"/>
          <w:highlight w:val="none"/>
        </w:rPr>
      </w:pPr>
      <w:r>
        <w:rPr>
          <w:rFonts w:hint="eastAsia" w:ascii="仿宋_GB2312" w:eastAsia="仿宋_GB2312"/>
          <w:b/>
          <w:color w:val="auto"/>
          <w:sz w:val="32"/>
          <w:szCs w:val="32"/>
          <w:highlight w:val="none"/>
        </w:rPr>
        <w:t>公务用车运行维护费支出</w:t>
      </w:r>
      <w:r>
        <w:rPr>
          <w:rFonts w:hint="eastAsia" w:ascii="仿宋_GB2312" w:hAnsi="Times New Roman" w:eastAsia="仿宋_GB2312" w:cs="Times New Roman"/>
          <w:color w:val="000000"/>
          <w:kern w:val="2"/>
          <w:sz w:val="32"/>
          <w:szCs w:val="32"/>
          <w:lang w:val="en-US" w:eastAsia="zh-CN" w:bidi="ar-SA"/>
        </w:rPr>
        <w:t>44.81万元。主要用于监督检查、审查调查所需的公务用车燃料费、维修费、过路过桥费、保险费等支出。</w:t>
      </w:r>
    </w:p>
    <w:p>
      <w:pPr>
        <w:spacing w:line="600" w:lineRule="exact"/>
        <w:ind w:firstLine="640"/>
        <w:rPr>
          <w:rFonts w:ascii="仿宋_GB2312" w:eastAsia="仿宋_GB2312"/>
          <w:color w:val="auto"/>
          <w:sz w:val="32"/>
          <w:szCs w:val="32"/>
          <w:highlight w:val="none"/>
        </w:rPr>
      </w:pPr>
      <w:r>
        <w:rPr>
          <w:rFonts w:ascii="仿宋_GB2312" w:eastAsia="仿宋_GB2312"/>
          <w:b/>
          <w:color w:val="auto"/>
          <w:sz w:val="32"/>
          <w:szCs w:val="32"/>
          <w:highlight w:val="none"/>
        </w:rPr>
        <w:t>3.</w:t>
      </w:r>
      <w:r>
        <w:rPr>
          <w:rFonts w:hint="eastAsia" w:ascii="仿宋_GB2312" w:eastAsia="仿宋_GB2312"/>
          <w:b/>
          <w:color w:val="auto"/>
          <w:sz w:val="32"/>
          <w:szCs w:val="32"/>
          <w:highlight w:val="none"/>
        </w:rPr>
        <w:t>公务接待费支出</w:t>
      </w:r>
      <w:r>
        <w:rPr>
          <w:rFonts w:hint="eastAsia" w:ascii="仿宋_GB2312" w:hAnsi="Times New Roman" w:eastAsia="仿宋_GB2312" w:cs="Times New Roman"/>
          <w:color w:val="000000"/>
          <w:kern w:val="2"/>
          <w:sz w:val="32"/>
          <w:szCs w:val="32"/>
          <w:lang w:val="en-US" w:eastAsia="zh-CN" w:bidi="ar-SA"/>
        </w:rPr>
        <w:t>4.39万元，完成预算54.88%。公务接待费支出决算比2021年增加0.49万元，增长12.56%。</w:t>
      </w:r>
      <w:r>
        <w:rPr>
          <w:rFonts w:hint="eastAsia" w:ascii="仿宋_GB2312" w:hAnsi="Times New Roman" w:eastAsia="仿宋_GB2312" w:cs="Times New Roman"/>
          <w:color w:val="000000"/>
          <w:kern w:val="2"/>
          <w:sz w:val="32"/>
          <w:szCs w:val="32"/>
          <w:highlight w:val="none"/>
          <w:lang w:val="en-US" w:eastAsia="zh-CN" w:bidi="ar-SA"/>
        </w:rPr>
        <w:t>主要原因是接受上级指导检查增多。</w:t>
      </w:r>
      <w:r>
        <w:rPr>
          <w:rFonts w:hint="eastAsia" w:ascii="仿宋_GB2312" w:hAnsi="Times New Roman" w:eastAsia="仿宋_GB2312" w:cs="Times New Roman"/>
          <w:color w:val="000000"/>
          <w:kern w:val="2"/>
          <w:sz w:val="32"/>
          <w:szCs w:val="32"/>
          <w:lang w:val="en-US" w:eastAsia="zh-CN" w:bidi="ar-SA"/>
        </w:rPr>
        <w:t>其中：</w:t>
      </w:r>
    </w:p>
    <w:p>
      <w:pPr>
        <w:spacing w:line="600" w:lineRule="exact"/>
        <w:ind w:firstLine="642" w:firstLineChars="200"/>
        <w:rPr>
          <w:rFonts w:ascii="仿宋_GB2312" w:eastAsia="仿宋_GB2312"/>
          <w:color w:val="auto"/>
          <w:sz w:val="32"/>
          <w:szCs w:val="32"/>
          <w:highlight w:val="none"/>
        </w:rPr>
      </w:pPr>
      <w:r>
        <w:rPr>
          <w:rFonts w:hint="eastAsia" w:ascii="仿宋" w:hAnsi="仿宋" w:eastAsia="仿宋"/>
          <w:b/>
          <w:color w:val="auto"/>
          <w:sz w:val="32"/>
          <w:szCs w:val="32"/>
          <w:highlight w:val="none"/>
        </w:rPr>
        <w:t>国内公务接待支出</w:t>
      </w:r>
      <w:r>
        <w:rPr>
          <w:rFonts w:hint="eastAsia" w:ascii="仿宋_GB2312" w:hAnsi="Times New Roman" w:eastAsia="仿宋_GB2312" w:cs="Times New Roman"/>
          <w:color w:val="000000"/>
          <w:kern w:val="2"/>
          <w:sz w:val="32"/>
          <w:szCs w:val="32"/>
          <w:lang w:val="en-US" w:eastAsia="zh-CN" w:bidi="ar-SA"/>
        </w:rPr>
        <w:t>4.39万元，主要用于本部门执行公务、开展业务活动开支的交通费、住宿费、用餐费等。国内公务接待57批次，399人次（不包括陪同人员），共计支出4.39万元，具体内容包括：接受上级检查、工作交流等。</w:t>
      </w:r>
    </w:p>
    <w:p>
      <w:pPr>
        <w:spacing w:line="600" w:lineRule="exact"/>
        <w:ind w:firstLine="642" w:firstLineChars="200"/>
        <w:rPr>
          <w:rFonts w:ascii="黑体" w:eastAsia="黑体"/>
          <w:color w:val="auto"/>
          <w:sz w:val="32"/>
          <w:szCs w:val="32"/>
          <w:highlight w:val="none"/>
        </w:rPr>
      </w:pPr>
      <w:r>
        <w:rPr>
          <w:rFonts w:hint="eastAsia" w:ascii="仿宋" w:hAnsi="仿宋" w:eastAsia="仿宋"/>
          <w:b/>
          <w:color w:val="auto"/>
          <w:sz w:val="32"/>
          <w:szCs w:val="32"/>
          <w:highlight w:val="none"/>
        </w:rPr>
        <w:t>外事接待支出</w:t>
      </w:r>
      <w:r>
        <w:rPr>
          <w:rFonts w:hint="eastAsia" w:ascii="仿宋_GB2312" w:hAnsi="Times New Roman" w:eastAsia="仿宋_GB2312" w:cs="Times New Roman"/>
          <w:color w:val="000000"/>
          <w:kern w:val="2"/>
          <w:sz w:val="32"/>
          <w:szCs w:val="32"/>
          <w:lang w:val="en-US" w:eastAsia="zh-CN" w:bidi="ar-SA"/>
        </w:rPr>
        <w:t>0万元。</w:t>
      </w:r>
    </w:p>
    <w:p>
      <w:pPr>
        <w:spacing w:line="600" w:lineRule="exact"/>
        <w:ind w:firstLine="640"/>
        <w:outlineLvl w:val="1"/>
        <w:rPr>
          <w:rStyle w:val="26"/>
          <w:rFonts w:ascii="黑体" w:hAnsi="黑体" w:eastAsia="黑体"/>
          <w:color w:val="auto"/>
          <w:highlight w:val="none"/>
        </w:rPr>
      </w:pPr>
      <w:bookmarkStart w:id="40" w:name="_Toc15377218"/>
      <w:bookmarkStart w:id="41" w:name="_Toc15396610"/>
      <w:r>
        <w:rPr>
          <w:rFonts w:hint="eastAsia" w:ascii="黑体" w:eastAsia="黑体"/>
          <w:color w:val="auto"/>
          <w:sz w:val="32"/>
          <w:szCs w:val="32"/>
          <w:highlight w:val="none"/>
        </w:rPr>
        <w:t>八、</w:t>
      </w:r>
      <w:r>
        <w:rPr>
          <w:rStyle w:val="26"/>
          <w:rFonts w:hint="eastAsia" w:ascii="黑体" w:hAnsi="黑体" w:eastAsia="黑体"/>
          <w:b w:val="0"/>
          <w:color w:val="auto"/>
          <w:highlight w:val="none"/>
        </w:rPr>
        <w:t>政府性基金预算支出决算情况说明</w:t>
      </w:r>
      <w:bookmarkEnd w:id="40"/>
      <w:bookmarkEnd w:id="41"/>
    </w:p>
    <w:p>
      <w:pPr>
        <w:spacing w:line="600" w:lineRule="exact"/>
        <w:ind w:firstLine="640" w:firstLineChars="200"/>
        <w:rPr>
          <w:rFonts w:ascii="仿宋_GB2312" w:eastAsia="仿宋_GB2312"/>
          <w:color w:val="auto"/>
          <w:sz w:val="32"/>
          <w:szCs w:val="32"/>
          <w:highlight w:val="none"/>
        </w:rPr>
      </w:pPr>
      <w:r>
        <w:rPr>
          <w:rFonts w:hint="eastAsia" w:ascii="仿宋_GB2312" w:hAnsi="Times New Roman" w:eastAsia="仿宋_GB2312" w:cs="Times New Roman"/>
          <w:color w:val="000000"/>
          <w:kern w:val="2"/>
          <w:sz w:val="32"/>
          <w:szCs w:val="32"/>
          <w:lang w:val="en-US" w:eastAsia="zh-CN" w:bidi="ar-SA"/>
        </w:rPr>
        <w:t>2022年政府性基金预算财政拨款支出0万元。2022年本部门未在政府性基金预算拨款安排“三公经费”支出。</w:t>
      </w:r>
    </w:p>
    <w:p>
      <w:pPr>
        <w:numPr>
          <w:ilvl w:val="0"/>
          <w:numId w:val="3"/>
        </w:numPr>
        <w:spacing w:line="600" w:lineRule="exact"/>
        <w:ind w:firstLine="640"/>
        <w:outlineLvl w:val="1"/>
        <w:rPr>
          <w:rStyle w:val="26"/>
          <w:rFonts w:ascii="黑体" w:hAnsi="黑体" w:eastAsia="黑体"/>
          <w:b w:val="0"/>
          <w:color w:val="auto"/>
          <w:highlight w:val="none"/>
        </w:rPr>
      </w:pPr>
      <w:bookmarkStart w:id="42" w:name="_Toc15377219"/>
      <w:bookmarkStart w:id="43" w:name="_Toc15396611"/>
      <w:r>
        <w:rPr>
          <w:rStyle w:val="26"/>
          <w:rFonts w:hint="eastAsia" w:ascii="黑体" w:hAnsi="黑体" w:eastAsia="黑体"/>
          <w:b w:val="0"/>
          <w:color w:val="auto"/>
          <w:highlight w:val="none"/>
        </w:rPr>
        <w:t>国有资本经营预算支出决算情况说明</w:t>
      </w:r>
      <w:bookmarkEnd w:id="42"/>
      <w:bookmarkEnd w:id="43"/>
    </w:p>
    <w:p>
      <w:pPr>
        <w:spacing w:line="600" w:lineRule="exact"/>
        <w:ind w:firstLine="640" w:firstLineChars="200"/>
        <w:rPr>
          <w:rFonts w:ascii="方正小标宋简体" w:hAnsi="方正小标宋简体" w:eastAsia="方正小标宋简体" w:cs="方正小标宋简体"/>
          <w:color w:val="auto"/>
          <w:sz w:val="44"/>
          <w:szCs w:val="44"/>
          <w:highlight w:val="none"/>
        </w:rPr>
      </w:pPr>
      <w:r>
        <w:rPr>
          <w:rFonts w:hint="eastAsia" w:ascii="仿宋_GB2312" w:hAnsi="Times New Roman" w:eastAsia="仿宋_GB2312" w:cs="Times New Roman"/>
          <w:color w:val="000000"/>
          <w:kern w:val="2"/>
          <w:sz w:val="32"/>
          <w:szCs w:val="32"/>
          <w:lang w:val="en-US" w:eastAsia="zh-CN" w:bidi="ar-SA"/>
        </w:rPr>
        <w:t>2022年国有资本经营预算财政拨款支出0万元。</w:t>
      </w:r>
    </w:p>
    <w:p>
      <w:pPr>
        <w:numPr>
          <w:ilvl w:val="0"/>
          <w:numId w:val="3"/>
        </w:numPr>
        <w:spacing w:line="600" w:lineRule="exact"/>
        <w:ind w:firstLine="640"/>
        <w:outlineLvl w:val="1"/>
        <w:rPr>
          <w:rStyle w:val="26"/>
          <w:rFonts w:hint="eastAsia" w:ascii="黑体" w:hAnsi="黑体" w:eastAsia="黑体"/>
          <w:b w:val="0"/>
          <w:color w:val="auto"/>
          <w:highlight w:val="none"/>
        </w:rPr>
      </w:pPr>
      <w:bookmarkStart w:id="44" w:name="_Toc15396612"/>
      <w:bookmarkStart w:id="45" w:name="_Toc15377221"/>
      <w:r>
        <w:rPr>
          <w:rStyle w:val="26"/>
          <w:rFonts w:hint="eastAsia" w:ascii="黑体" w:hAnsi="黑体" w:eastAsia="黑体"/>
          <w:b w:val="0"/>
          <w:color w:val="auto"/>
          <w:highlight w:val="none"/>
        </w:rPr>
        <w:t>其他重要事项的情况说明</w:t>
      </w:r>
      <w:bookmarkEnd w:id="44"/>
      <w:bookmarkEnd w:id="45"/>
    </w:p>
    <w:p>
      <w:pPr>
        <w:spacing w:line="600" w:lineRule="exact"/>
        <w:ind w:firstLine="642" w:firstLineChars="200"/>
        <w:outlineLvl w:val="2"/>
        <w:rPr>
          <w:rFonts w:ascii="仿宋" w:hAnsi="仿宋" w:eastAsia="仿宋"/>
          <w:color w:val="auto"/>
          <w:sz w:val="32"/>
          <w:szCs w:val="32"/>
          <w:highlight w:val="none"/>
        </w:rPr>
      </w:pPr>
      <w:bookmarkStart w:id="46" w:name="_Toc15377222"/>
      <w:r>
        <w:rPr>
          <w:rFonts w:hint="eastAsia" w:ascii="仿宋" w:hAnsi="仿宋" w:eastAsia="仿宋"/>
          <w:b/>
          <w:color w:val="auto"/>
          <w:sz w:val="32"/>
          <w:szCs w:val="32"/>
          <w:highlight w:val="none"/>
        </w:rPr>
        <w:t>（一）机关运行经费支出情况</w:t>
      </w:r>
      <w:bookmarkEnd w:id="46"/>
    </w:p>
    <w:p>
      <w:pPr>
        <w:spacing w:line="600" w:lineRule="exact"/>
        <w:ind w:firstLine="640" w:firstLineChars="200"/>
        <w:rPr>
          <w:rFonts w:hint="eastAsia" w:ascii="仿宋" w:hAnsi="仿宋" w:eastAsia="仿宋"/>
          <w:color w:val="auto"/>
          <w:sz w:val="32"/>
          <w:szCs w:val="32"/>
          <w:highlight w:val="none"/>
          <w:lang w:val="en-US" w:eastAsia="zh-CN"/>
        </w:rPr>
      </w:pPr>
      <w:bookmarkStart w:id="47" w:name="_Toc15377223"/>
      <w:r>
        <w:rPr>
          <w:rFonts w:hint="eastAsia" w:ascii="仿宋_GB2312" w:hAnsi="Times New Roman" w:eastAsia="仿宋_GB2312" w:cs="Times New Roman"/>
          <w:color w:val="000000"/>
          <w:kern w:val="2"/>
          <w:sz w:val="32"/>
          <w:szCs w:val="32"/>
          <w:lang w:val="en-US" w:eastAsia="zh-CN" w:bidi="ar-SA"/>
        </w:rPr>
        <w:t>2022年，市纪委机关运行经费支出314.65万元，比2021年增加73.54万元，增长30.5%，主要原因是受疫情影响，防疫支出增加。</w:t>
      </w:r>
    </w:p>
    <w:p>
      <w:pPr>
        <w:autoSpaceDE w:val="0"/>
        <w:autoSpaceDN w:val="0"/>
        <w:adjustRightInd w:val="0"/>
        <w:spacing w:line="600" w:lineRule="exact"/>
        <w:ind w:firstLine="642" w:firstLineChars="200"/>
        <w:jc w:val="left"/>
        <w:outlineLvl w:val="2"/>
        <w:rPr>
          <w:rFonts w:ascii="仿宋" w:hAnsi="仿宋" w:eastAsia="仿宋"/>
          <w:b/>
          <w:color w:val="auto"/>
          <w:sz w:val="32"/>
          <w:szCs w:val="32"/>
          <w:highlight w:val="none"/>
        </w:rPr>
      </w:pPr>
      <w:r>
        <w:rPr>
          <w:rFonts w:hint="eastAsia" w:ascii="仿宋" w:hAnsi="仿宋" w:eastAsia="仿宋"/>
          <w:b/>
          <w:color w:val="auto"/>
          <w:sz w:val="32"/>
          <w:szCs w:val="32"/>
          <w:highlight w:val="none"/>
        </w:rPr>
        <w:t>（二）政府采购支出情况</w:t>
      </w:r>
      <w:bookmarkEnd w:id="47"/>
    </w:p>
    <w:p>
      <w:pPr>
        <w:spacing w:line="600" w:lineRule="exact"/>
        <w:ind w:firstLine="640" w:firstLineChars="200"/>
        <w:rPr>
          <w:rFonts w:hint="eastAsia" w:ascii="仿宋" w:hAnsi="仿宋" w:eastAsia="仿宋"/>
          <w:color w:val="auto"/>
          <w:sz w:val="32"/>
          <w:szCs w:val="32"/>
          <w:highlight w:val="none"/>
          <w:lang w:val="en-US" w:eastAsia="zh-CN"/>
        </w:rPr>
      </w:pPr>
      <w:r>
        <w:rPr>
          <w:rFonts w:hint="eastAsia" w:ascii="仿宋_GB2312" w:hAnsi="Times New Roman" w:eastAsia="仿宋_GB2312" w:cs="Times New Roman"/>
          <w:color w:val="000000"/>
          <w:kern w:val="2"/>
          <w:sz w:val="32"/>
          <w:szCs w:val="32"/>
          <w:lang w:val="en-US" w:eastAsia="zh-CN" w:bidi="ar-SA"/>
        </w:rPr>
        <w:t>2022年，本部门政府采购支出总额621.82万元，其中：政府采购货物支出277.79万元、政府采购工程支出0万元、政府采购服务支出344.03万元。主要用于市党风廉政教育中心食堂物资采购和后勤保障管理服务费用。授予中小企业合同金额1.85万元，占政府采购支出总额的0.3%，其中：授予小微企业合同金额1.85万元，占政府采购支出总额的0.3%。</w:t>
      </w:r>
    </w:p>
    <w:p>
      <w:pPr>
        <w:autoSpaceDE w:val="0"/>
        <w:autoSpaceDN w:val="0"/>
        <w:adjustRightInd w:val="0"/>
        <w:spacing w:line="600" w:lineRule="exact"/>
        <w:ind w:firstLine="642" w:firstLineChars="200"/>
        <w:jc w:val="left"/>
        <w:outlineLvl w:val="2"/>
        <w:rPr>
          <w:rFonts w:ascii="仿宋" w:hAnsi="仿宋" w:eastAsia="仿宋"/>
          <w:b/>
          <w:color w:val="auto"/>
          <w:sz w:val="32"/>
          <w:szCs w:val="32"/>
          <w:highlight w:val="none"/>
        </w:rPr>
      </w:pPr>
      <w:bookmarkStart w:id="48" w:name="_Toc15377224"/>
      <w:r>
        <w:rPr>
          <w:rFonts w:hint="eastAsia" w:ascii="仿宋" w:hAnsi="仿宋" w:eastAsia="仿宋"/>
          <w:b/>
          <w:color w:val="auto"/>
          <w:sz w:val="32"/>
          <w:szCs w:val="32"/>
          <w:highlight w:val="none"/>
        </w:rPr>
        <w:t>（三）国有资产占有使用情况</w:t>
      </w:r>
      <w:bookmarkEnd w:id="48"/>
    </w:p>
    <w:p>
      <w:pPr>
        <w:spacing w:line="600" w:lineRule="exact"/>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截至2022年12月31日，本部门共有车辆9辆，其中：执法执勤车8辆、应急保障用车1辆，主要是用于审查调查业务工作。单价100万元以上专用设备0台（套）。</w:t>
      </w:r>
    </w:p>
    <w:p>
      <w:pPr>
        <w:autoSpaceDE w:val="0"/>
        <w:autoSpaceDN w:val="0"/>
        <w:adjustRightInd w:val="0"/>
        <w:spacing w:line="600" w:lineRule="exact"/>
        <w:ind w:firstLine="642" w:firstLineChars="200"/>
        <w:jc w:val="left"/>
        <w:outlineLvl w:val="2"/>
        <w:rPr>
          <w:rFonts w:hint="eastAsia" w:ascii="仿宋" w:hAnsi="仿宋" w:eastAsia="仿宋"/>
          <w:b/>
          <w:color w:val="auto"/>
          <w:sz w:val="32"/>
          <w:szCs w:val="32"/>
          <w:highlight w:val="none"/>
          <w:lang w:eastAsia="zh-CN"/>
        </w:rPr>
      </w:pPr>
      <w:r>
        <w:rPr>
          <w:rFonts w:hint="eastAsia" w:ascii="仿宋" w:hAnsi="仿宋" w:eastAsia="仿宋"/>
          <w:b/>
          <w:color w:val="auto"/>
          <w:sz w:val="32"/>
          <w:szCs w:val="32"/>
          <w:highlight w:val="none"/>
        </w:rPr>
        <w:t>（四）预算绩效管理情况</w:t>
      </w:r>
    </w:p>
    <w:p>
      <w:pPr>
        <w:pStyle w:val="6"/>
        <w:ind w:firstLine="640" w:firstLineChars="200"/>
        <w:rPr>
          <w:rFonts w:hint="eastAsia" w:ascii="仿宋_GB2312" w:hAnsi="仿宋_GB2312" w:eastAsia="仿宋_GB2312" w:cs="仿宋_GB2312"/>
          <w:color w:val="auto"/>
          <w:sz w:val="32"/>
          <w:szCs w:val="32"/>
          <w:highlight w:val="none"/>
        </w:rPr>
      </w:pPr>
      <w:r>
        <w:rPr>
          <w:rFonts w:hint="eastAsia" w:ascii="仿宋_GB2312" w:hAnsi="Times New Roman" w:eastAsia="仿宋_GB2312" w:cs="Times New Roman"/>
          <w:color w:val="000000"/>
          <w:kern w:val="2"/>
          <w:sz w:val="32"/>
          <w:szCs w:val="32"/>
          <w:lang w:val="en-US" w:eastAsia="zh-CN" w:bidi="ar-SA"/>
        </w:rPr>
        <w:t>根据预算绩效管理要求，本部门在2022年度预算编制阶段，组织对党风廉政建设宣传及警示教育工作经费项目开展了预算事前绩效评估，对所有项目编制了绩效目标，预算执行过程中</w:t>
      </w:r>
      <w:r>
        <w:rPr>
          <w:rFonts w:hint="eastAsia" w:ascii="仿宋_GB2312" w:hAnsi="仿宋_GB2312" w:eastAsia="仿宋_GB2312" w:cs="仿宋_GB2312"/>
          <w:color w:val="auto"/>
          <w:sz w:val="32"/>
          <w:szCs w:val="32"/>
          <w:highlight w:val="none"/>
        </w:rPr>
        <w:t>，预算执行过程中，</w:t>
      </w:r>
      <w:r>
        <w:rPr>
          <w:rFonts w:hint="eastAsia" w:hAnsi="仿宋_GB2312" w:cs="仿宋_GB2312"/>
          <w:color w:val="auto"/>
          <w:sz w:val="32"/>
          <w:szCs w:val="32"/>
          <w:highlight w:val="none"/>
          <w:lang w:eastAsia="zh-CN"/>
        </w:rPr>
        <w:t>对</w:t>
      </w:r>
      <w:r>
        <w:rPr>
          <w:rFonts w:hint="eastAsia" w:ascii="仿宋_GB2312" w:hAnsi="仿宋_GB2312" w:eastAsia="仿宋_GB2312" w:cs="仿宋_GB2312"/>
          <w:color w:val="auto"/>
          <w:sz w:val="32"/>
          <w:szCs w:val="32"/>
          <w:highlight w:val="none"/>
        </w:rPr>
        <w:t>项目开展绩效监控，组织对</w:t>
      </w:r>
      <w:r>
        <w:rPr>
          <w:rFonts w:hint="eastAsia"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个项目开展绩效自评，绩效自评表详见</w:t>
      </w:r>
      <w:r>
        <w:rPr>
          <w:rFonts w:hint="eastAsia" w:hAnsi="仿宋_GB2312" w:cs="仿宋_GB2312"/>
          <w:color w:val="auto"/>
          <w:sz w:val="32"/>
          <w:szCs w:val="32"/>
          <w:highlight w:val="none"/>
          <w:lang w:eastAsia="zh-CN"/>
        </w:rPr>
        <w:t>第四部分</w:t>
      </w:r>
      <w:r>
        <w:rPr>
          <w:rFonts w:hint="eastAsia" w:ascii="仿宋_GB2312" w:hAnsi="仿宋_GB2312" w:eastAsia="仿宋_GB2312" w:cs="仿宋_GB2312"/>
          <w:color w:val="auto"/>
          <w:sz w:val="32"/>
          <w:szCs w:val="32"/>
          <w:highlight w:val="none"/>
        </w:rPr>
        <w:t>附件。</w:t>
      </w:r>
    </w:p>
    <w:p>
      <w:pPr>
        <w:widowControl/>
        <w:jc w:val="left"/>
        <w:rPr>
          <w:rFonts w:ascii="仿宋_GB2312" w:eastAsia="仿宋_GB2312"/>
          <w:b/>
          <w:color w:val="auto"/>
          <w:sz w:val="32"/>
          <w:szCs w:val="32"/>
          <w:highlight w:val="none"/>
        </w:rPr>
      </w:pPr>
      <w:r>
        <w:rPr>
          <w:rFonts w:ascii="仿宋_GB2312" w:eastAsia="仿宋_GB2312"/>
          <w:b/>
          <w:color w:val="auto"/>
          <w:sz w:val="32"/>
          <w:szCs w:val="32"/>
          <w:highlight w:val="none"/>
        </w:rPr>
        <w:br w:type="page"/>
      </w:r>
    </w:p>
    <w:p>
      <w:pPr>
        <w:numPr>
          <w:ilvl w:val="0"/>
          <w:numId w:val="4"/>
        </w:numPr>
        <w:spacing w:line="600" w:lineRule="exact"/>
        <w:ind w:firstLine="660" w:firstLineChars="150"/>
        <w:jc w:val="center"/>
        <w:outlineLvl w:val="0"/>
        <w:rPr>
          <w:rStyle w:val="25"/>
          <w:rFonts w:ascii="黑体" w:hAnsi="黑体" w:eastAsia="黑体"/>
          <w:b w:val="0"/>
          <w:color w:val="auto"/>
          <w:highlight w:val="none"/>
        </w:rPr>
      </w:pPr>
      <w:bookmarkStart w:id="49" w:name="_Toc15396613"/>
      <w:bookmarkStart w:id="50" w:name="_Toc15377225"/>
      <w:r>
        <w:rPr>
          <w:rFonts w:hint="eastAsia" w:ascii="黑体" w:hAnsi="黑体" w:eastAsia="黑体"/>
          <w:color w:val="auto"/>
          <w:sz w:val="44"/>
          <w:szCs w:val="44"/>
          <w:highlight w:val="none"/>
        </w:rPr>
        <w:t>名</w:t>
      </w:r>
      <w:r>
        <w:rPr>
          <w:rStyle w:val="25"/>
          <w:rFonts w:hint="eastAsia" w:ascii="黑体" w:hAnsi="黑体" w:eastAsia="黑体"/>
          <w:b w:val="0"/>
          <w:color w:val="auto"/>
          <w:highlight w:val="none"/>
        </w:rPr>
        <w:t>词解释</w:t>
      </w:r>
      <w:bookmarkEnd w:id="49"/>
      <w:bookmarkEnd w:id="50"/>
    </w:p>
    <w:p>
      <w:pPr>
        <w:spacing w:line="600" w:lineRule="exact"/>
        <w:jc w:val="left"/>
        <w:rPr>
          <w:rFonts w:ascii="宋体"/>
          <w:b/>
          <w:color w:val="auto"/>
          <w:sz w:val="44"/>
          <w:szCs w:val="44"/>
          <w:highlight w:val="none"/>
        </w:rPr>
      </w:pPr>
    </w:p>
    <w:p>
      <w:pPr>
        <w:pStyle w:val="23"/>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财政拨款收入：指单位从同级财政部门取得的财政预算资金。</w:t>
      </w:r>
      <w:r>
        <w:rPr>
          <w:rFonts w:ascii="仿宋_GB2312" w:eastAsia="仿宋_GB2312"/>
          <w:color w:val="auto"/>
          <w:sz w:val="32"/>
          <w:szCs w:val="32"/>
          <w:highlight w:val="none"/>
        </w:rPr>
        <w:t xml:space="preserve"> </w:t>
      </w:r>
    </w:p>
    <w:p>
      <w:pPr>
        <w:pStyle w:val="23"/>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ascii="仿宋_GB2312" w:eastAsia="仿宋_GB2312"/>
          <w:color w:val="auto"/>
          <w:sz w:val="32"/>
          <w:szCs w:val="32"/>
          <w:highlight w:val="none"/>
        </w:rPr>
        <w:t>.</w:t>
      </w:r>
      <w:r>
        <w:rPr>
          <w:rFonts w:hint="eastAsia" w:ascii="仿宋_GB2312" w:eastAsia="仿宋_GB2312"/>
          <w:color w:val="auto"/>
          <w:sz w:val="32"/>
          <w:szCs w:val="32"/>
          <w:highlight w:val="none"/>
        </w:rPr>
        <w:t>年初结转和结余：指以前年度尚未完成、结转到本年按有关规定继续使用的资金。</w:t>
      </w:r>
      <w:r>
        <w:rPr>
          <w:rFonts w:ascii="仿宋_GB2312" w:eastAsia="仿宋_GB2312"/>
          <w:color w:val="auto"/>
          <w:sz w:val="32"/>
          <w:szCs w:val="32"/>
          <w:highlight w:val="none"/>
        </w:rPr>
        <w:t xml:space="preserve"> </w:t>
      </w:r>
    </w:p>
    <w:p>
      <w:pPr>
        <w:pStyle w:val="23"/>
        <w:spacing w:line="56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年末结转和结余：指单位按有关规定结转到下年或以后年度继续使用的资金。</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cs="Times New Roman"/>
          <w:color w:val="000000"/>
          <w:kern w:val="2"/>
          <w:sz w:val="32"/>
          <w:szCs w:val="32"/>
          <w:lang w:val="en-US" w:eastAsia="zh-CN" w:bidi="ar-SA"/>
        </w:rPr>
        <w:t>4</w:t>
      </w:r>
      <w:r>
        <w:rPr>
          <w:rFonts w:hint="eastAsia" w:ascii="仿宋_GB2312" w:hAnsi="Times New Roman" w:eastAsia="仿宋_GB2312" w:cs="Times New Roman"/>
          <w:color w:val="000000"/>
          <w:kern w:val="2"/>
          <w:sz w:val="32"/>
          <w:szCs w:val="32"/>
          <w:lang w:val="en-US" w:eastAsia="zh-CN" w:bidi="ar-SA"/>
        </w:rPr>
        <w:t>.一般公共服务支出（类）纪检监察事务（款）行政运行（项）：反映行政单位的基本支出。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color w:val="auto"/>
          <w:sz w:val="32"/>
          <w:szCs w:val="32"/>
          <w:highlight w:val="none"/>
          <w:lang w:val="en-US" w:eastAsia="zh-CN"/>
        </w:rPr>
        <w:t>5.</w:t>
      </w:r>
      <w:r>
        <w:rPr>
          <w:rFonts w:hint="eastAsia" w:ascii="仿宋_GB2312" w:hAnsi="Times New Roman" w:eastAsia="仿宋_GB2312" w:cs="Times New Roman"/>
          <w:color w:val="000000"/>
          <w:kern w:val="2"/>
          <w:sz w:val="32"/>
          <w:szCs w:val="32"/>
          <w:lang w:val="en-US" w:eastAsia="zh-CN" w:bidi="ar-SA"/>
        </w:rPr>
        <w:t>一般公共服务支出（类）纪检监察事务（款）一般行政管理事务（项）：反映行政单位未单独设置项级科目的其他项目支出。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cs="Times New Roman"/>
          <w:color w:val="000000"/>
          <w:kern w:val="2"/>
          <w:sz w:val="32"/>
          <w:szCs w:val="32"/>
          <w:lang w:val="en-US" w:eastAsia="zh-CN" w:bidi="ar-SA"/>
        </w:rPr>
        <w:t>6</w:t>
      </w:r>
      <w:r>
        <w:rPr>
          <w:rFonts w:hint="eastAsia" w:ascii="仿宋_GB2312" w:hAnsi="Times New Roman" w:eastAsia="仿宋_GB2312" w:cs="Times New Roman"/>
          <w:color w:val="000000"/>
          <w:kern w:val="2"/>
          <w:sz w:val="32"/>
          <w:szCs w:val="32"/>
          <w:lang w:val="en-US" w:eastAsia="zh-CN" w:bidi="ar-SA"/>
        </w:rPr>
        <w:t>.一般公共服务支出（类）纪检监察事务（款）大案要案查处（项）：反映查处大要（专）案的支出。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cs="Times New Roman"/>
          <w:color w:val="000000"/>
          <w:kern w:val="2"/>
          <w:sz w:val="32"/>
          <w:szCs w:val="32"/>
          <w:lang w:val="en-US" w:eastAsia="zh-CN" w:bidi="ar-SA"/>
        </w:rPr>
        <w:t>7</w:t>
      </w:r>
      <w:r>
        <w:rPr>
          <w:rFonts w:hint="eastAsia" w:ascii="仿宋_GB2312" w:hAnsi="Times New Roman" w:eastAsia="仿宋_GB2312" w:cs="Times New Roman"/>
          <w:color w:val="000000"/>
          <w:kern w:val="2"/>
          <w:sz w:val="32"/>
          <w:szCs w:val="32"/>
          <w:lang w:val="en-US" w:eastAsia="zh-CN" w:bidi="ar-SA"/>
        </w:rPr>
        <w:t>.一般公共服务支出（类）纪检监察事务（款）巡视工作（项）：反映巡视巡察工作的支出。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cs="Times New Roman"/>
          <w:color w:val="000000"/>
          <w:kern w:val="2"/>
          <w:sz w:val="32"/>
          <w:szCs w:val="32"/>
          <w:lang w:val="en-US" w:eastAsia="zh-CN" w:bidi="ar-SA"/>
        </w:rPr>
        <w:t>8</w:t>
      </w:r>
      <w:r>
        <w:rPr>
          <w:rFonts w:hint="eastAsia" w:ascii="仿宋_GB2312" w:hAnsi="Times New Roman" w:eastAsia="仿宋_GB2312" w:cs="Times New Roman"/>
          <w:color w:val="000000"/>
          <w:kern w:val="2"/>
          <w:sz w:val="32"/>
          <w:szCs w:val="32"/>
          <w:lang w:val="en-US" w:eastAsia="zh-CN" w:bidi="ar-SA"/>
        </w:rPr>
        <w:t>.一般公共服务支出（类）纪检监察事务（款）事业运行（项）：反映</w:t>
      </w:r>
      <w:r>
        <w:rPr>
          <w:rFonts w:hint="eastAsia" w:ascii="仿宋_GB2312" w:eastAsia="仿宋_GB2312" w:cs="Times New Roman"/>
          <w:color w:val="000000"/>
          <w:kern w:val="2"/>
          <w:sz w:val="32"/>
          <w:szCs w:val="32"/>
          <w:lang w:val="en-US" w:eastAsia="zh-CN" w:bidi="ar-SA"/>
        </w:rPr>
        <w:t>下属</w:t>
      </w:r>
      <w:r>
        <w:rPr>
          <w:rFonts w:hint="eastAsia" w:ascii="仿宋_GB2312" w:hAnsi="Times New Roman" w:eastAsia="仿宋_GB2312" w:cs="Times New Roman"/>
          <w:color w:val="000000"/>
          <w:kern w:val="2"/>
          <w:sz w:val="32"/>
          <w:szCs w:val="32"/>
          <w:lang w:val="en-US" w:eastAsia="zh-CN" w:bidi="ar-SA"/>
        </w:rPr>
        <w:t>事业单位的基本支出。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cs="Times New Roman"/>
          <w:color w:val="000000"/>
          <w:kern w:val="2"/>
          <w:sz w:val="32"/>
          <w:szCs w:val="32"/>
          <w:lang w:val="en-US" w:eastAsia="zh-CN" w:bidi="ar-SA"/>
        </w:rPr>
        <w:t>9</w:t>
      </w:r>
      <w:r>
        <w:rPr>
          <w:rFonts w:hint="eastAsia" w:ascii="仿宋_GB2312" w:hAnsi="Times New Roman" w:eastAsia="仿宋_GB2312" w:cs="Times New Roman"/>
          <w:color w:val="000000"/>
          <w:kern w:val="2"/>
          <w:sz w:val="32"/>
          <w:szCs w:val="32"/>
          <w:lang w:val="en-US" w:eastAsia="zh-CN" w:bidi="ar-SA"/>
        </w:rPr>
        <w:t>.一般公共服务支出（类）纪检监察事务（款）其他纪检监察事务支出（项）：反映纪委监委业务用房及办公场所维修改造项目支出。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0</w:t>
      </w:r>
      <w:r>
        <w:rPr>
          <w:rFonts w:hint="eastAsia" w:ascii="仿宋_GB2312" w:hAnsi="Times New Roman" w:eastAsia="仿宋_GB2312" w:cs="Times New Roman"/>
          <w:color w:val="000000"/>
          <w:kern w:val="2"/>
          <w:sz w:val="32"/>
          <w:szCs w:val="32"/>
          <w:lang w:val="en-US" w:eastAsia="zh-CN" w:bidi="ar-SA"/>
        </w:rPr>
        <w:t>.社会保障和就业（类）人力资源和社会保障管理事务（款）其他人力资源和社会保障管理事务支出（项）：反映本</w:t>
      </w:r>
      <w:r>
        <w:rPr>
          <w:rFonts w:hint="eastAsia" w:ascii="仿宋_GB2312" w:eastAsia="仿宋_GB2312" w:cs="Times New Roman"/>
          <w:color w:val="000000"/>
          <w:kern w:val="2"/>
          <w:sz w:val="32"/>
          <w:szCs w:val="32"/>
          <w:lang w:val="en-US" w:eastAsia="zh-CN" w:bidi="ar-SA"/>
        </w:rPr>
        <w:t>单位</w:t>
      </w:r>
      <w:r>
        <w:rPr>
          <w:rFonts w:hint="eastAsia" w:ascii="仿宋_GB2312" w:hAnsi="Times New Roman" w:eastAsia="仿宋_GB2312" w:cs="Times New Roman"/>
          <w:color w:val="000000"/>
          <w:kern w:val="2"/>
          <w:sz w:val="32"/>
          <w:szCs w:val="32"/>
          <w:lang w:val="en-US" w:eastAsia="zh-CN" w:bidi="ar-SA"/>
        </w:rPr>
        <w:t>引进人才安家补助支出。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1</w:t>
      </w:r>
      <w:r>
        <w:rPr>
          <w:rFonts w:hint="eastAsia" w:ascii="仿宋_GB2312" w:hAnsi="Times New Roman" w:eastAsia="仿宋_GB2312" w:cs="Times New Roman"/>
          <w:color w:val="000000"/>
          <w:kern w:val="2"/>
          <w:sz w:val="32"/>
          <w:szCs w:val="32"/>
          <w:lang w:val="en-US" w:eastAsia="zh-CN" w:bidi="ar-SA"/>
        </w:rPr>
        <w:t>.社会保障和就业（类）行政事业单位养老支出（款）机关事业单位基本养老保险缴费支出（项）：反映机关事业单位实施养老保险制度由单位缴纳的基本养老保险费支出。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2</w:t>
      </w:r>
      <w:r>
        <w:rPr>
          <w:rFonts w:hint="eastAsia" w:ascii="仿宋_GB2312" w:hAnsi="Times New Roman" w:eastAsia="仿宋_GB2312" w:cs="Times New Roman"/>
          <w:color w:val="000000"/>
          <w:kern w:val="2"/>
          <w:sz w:val="32"/>
          <w:szCs w:val="32"/>
          <w:lang w:val="en-US" w:eastAsia="zh-CN" w:bidi="ar-SA"/>
        </w:rPr>
        <w:t>.社会保障和就业（类）行政事业单位养老支出（款）机关事业单位职业年金缴费支出（项）：反映机关事业单位实施养老保险制度由部门实际缴纳的职业年金支出。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3</w:t>
      </w:r>
      <w:r>
        <w:rPr>
          <w:rFonts w:hint="eastAsia" w:ascii="仿宋_GB2312" w:hAnsi="Times New Roman" w:eastAsia="仿宋_GB2312" w:cs="Times New Roman"/>
          <w:color w:val="000000"/>
          <w:kern w:val="2"/>
          <w:sz w:val="32"/>
          <w:szCs w:val="32"/>
          <w:lang w:val="en-US" w:eastAsia="zh-CN" w:bidi="ar-SA"/>
        </w:rPr>
        <w:t>.社会保障和就业（类）其他社会保障和就业支出（款）其他社会保障和就业支出（项）：反映由部门实际缴纳的其他社会保障和就业支出。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4</w:t>
      </w:r>
      <w:r>
        <w:rPr>
          <w:rFonts w:hint="eastAsia" w:ascii="仿宋_GB2312" w:hAnsi="Times New Roman" w:eastAsia="仿宋_GB2312" w:cs="Times New Roman"/>
          <w:color w:val="000000"/>
          <w:kern w:val="2"/>
          <w:sz w:val="32"/>
          <w:szCs w:val="32"/>
          <w:lang w:val="en-US" w:eastAsia="zh-CN" w:bidi="ar-SA"/>
        </w:rPr>
        <w:t>.卫生健康（类）行政事业单位医疗（款）行政单位医疗（项）</w:t>
      </w:r>
      <w:r>
        <w:rPr>
          <w:rFonts w:hint="eastAsia" w:ascii="仿宋_GB2312" w:eastAsia="仿宋_GB2312" w:cs="Times New Roman"/>
          <w:color w:val="000000"/>
          <w:kern w:val="2"/>
          <w:sz w:val="32"/>
          <w:szCs w:val="32"/>
          <w:lang w:val="en-US" w:eastAsia="zh-CN" w:bidi="ar-SA"/>
        </w:rPr>
        <w:t>：</w:t>
      </w:r>
      <w:r>
        <w:rPr>
          <w:rFonts w:hint="eastAsia" w:ascii="仿宋_GB2312" w:hAnsi="Times New Roman" w:eastAsia="仿宋_GB2312" w:cs="Times New Roman"/>
          <w:color w:val="000000"/>
          <w:kern w:val="2"/>
          <w:sz w:val="32"/>
          <w:szCs w:val="32"/>
          <w:lang w:val="en-US" w:eastAsia="zh-CN" w:bidi="ar-SA"/>
        </w:rPr>
        <w:t>指反映财政部门集中安排的行政单位基本医疗保险缴费经费，未参加医疗保险的行政单位的公费医疗经费，按国家规定享受离休人员、红军老战士待遇人员的医疗经费。</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5</w:t>
      </w:r>
      <w:r>
        <w:rPr>
          <w:rFonts w:hint="eastAsia" w:ascii="仿宋_GB2312" w:hAnsi="Times New Roman" w:eastAsia="仿宋_GB2312" w:cs="Times New Roman"/>
          <w:color w:val="000000"/>
          <w:kern w:val="2"/>
          <w:sz w:val="32"/>
          <w:szCs w:val="32"/>
          <w:lang w:val="en-US" w:eastAsia="zh-CN" w:bidi="ar-SA"/>
        </w:rPr>
        <w:t>.住房保障（类）住房改革支出（款）住房公积金（项）：指反映行政事业单位按人力资源和社会保障部、财政部规定的基本工资和津贴补贴以及规定比例为职工缴纳的住房公积金。</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6</w:t>
      </w:r>
      <w:r>
        <w:rPr>
          <w:rFonts w:hint="eastAsia" w:ascii="仿宋_GB2312" w:hAnsi="Times New Roman" w:eastAsia="仿宋_GB2312" w:cs="Times New Roman"/>
          <w:color w:val="000000"/>
          <w:kern w:val="2"/>
          <w:sz w:val="32"/>
          <w:szCs w:val="32"/>
          <w:lang w:val="en-US" w:eastAsia="zh-CN" w:bidi="ar-SA"/>
        </w:rPr>
        <w:t>.基本支出：指为保障机构正常运转、完成日常工作任务而发生的人员支出和公用支出。</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hAnsi="Times New Roman" w:eastAsia="仿宋_GB2312" w:cs="Times New Roman"/>
          <w:color w:val="000000"/>
          <w:kern w:val="2"/>
          <w:sz w:val="32"/>
          <w:szCs w:val="32"/>
          <w:lang w:val="en-US" w:eastAsia="zh-CN" w:bidi="ar-SA"/>
        </w:rPr>
        <w:t>1</w:t>
      </w:r>
      <w:r>
        <w:rPr>
          <w:rFonts w:hint="eastAsia" w:ascii="仿宋_GB2312" w:eastAsia="仿宋_GB2312" w:cs="Times New Roman"/>
          <w:color w:val="000000"/>
          <w:kern w:val="2"/>
          <w:sz w:val="32"/>
          <w:szCs w:val="32"/>
          <w:lang w:val="en-US" w:eastAsia="zh-CN" w:bidi="ar-SA"/>
        </w:rPr>
        <w:t>7</w:t>
      </w:r>
      <w:r>
        <w:rPr>
          <w:rFonts w:hint="eastAsia" w:ascii="仿宋_GB2312" w:hAnsi="Times New Roman" w:eastAsia="仿宋_GB2312" w:cs="Times New Roman"/>
          <w:color w:val="000000"/>
          <w:kern w:val="2"/>
          <w:sz w:val="32"/>
          <w:szCs w:val="32"/>
          <w:lang w:val="en-US" w:eastAsia="zh-CN" w:bidi="ar-SA"/>
        </w:rPr>
        <w:t xml:space="preserve">.项目支出：指在基本支出之外为完成特定行政任务和事业发展目标所发生的支出。 </w:t>
      </w:r>
    </w:p>
    <w:p>
      <w:pPr>
        <w:ind w:firstLine="640" w:firstLineChars="200"/>
        <w:rPr>
          <w:rFonts w:hint="eastAsia" w:ascii="仿宋_GB2312" w:hAnsi="Times New Roman" w:eastAsia="仿宋_GB2312" w:cs="Times New Roman"/>
          <w:color w:val="000000"/>
          <w:kern w:val="2"/>
          <w:sz w:val="32"/>
          <w:szCs w:val="32"/>
          <w:lang w:val="en-US" w:eastAsia="zh-CN" w:bidi="ar-SA"/>
        </w:rPr>
      </w:pPr>
      <w:r>
        <w:rPr>
          <w:rFonts w:hint="eastAsia" w:ascii="仿宋_GB2312" w:eastAsia="仿宋_GB2312" w:cs="Times New Roman"/>
          <w:color w:val="000000"/>
          <w:kern w:val="2"/>
          <w:sz w:val="32"/>
          <w:szCs w:val="32"/>
          <w:lang w:val="en-US" w:eastAsia="zh-CN" w:bidi="ar-SA"/>
        </w:rPr>
        <w:t>18</w:t>
      </w:r>
      <w:r>
        <w:rPr>
          <w:rFonts w:hint="eastAsia" w:ascii="仿宋_GB2312" w:hAnsi="Times New Roman" w:eastAsia="仿宋_GB2312" w:cs="Times New Roman"/>
          <w:color w:val="000000"/>
          <w:kern w:val="2"/>
          <w:sz w:val="32"/>
          <w:szCs w:val="32"/>
          <w:lang w:val="en-US" w:eastAsia="zh-CN" w:bidi="ar-SA"/>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3"/>
        <w:spacing w:line="560" w:lineRule="exact"/>
        <w:ind w:firstLine="640" w:firstLineChars="200"/>
        <w:rPr>
          <w:rFonts w:hint="default" w:ascii="仿宋_GB2312" w:eastAsia="仿宋_GB2312"/>
          <w:color w:val="auto"/>
          <w:sz w:val="32"/>
          <w:szCs w:val="32"/>
          <w:highlight w:val="none"/>
          <w:lang w:val="en-US" w:eastAsia="zh-CN"/>
        </w:rPr>
      </w:pPr>
      <w:r>
        <w:rPr>
          <w:rFonts w:hint="eastAsia" w:ascii="仿宋_GB2312" w:hAnsi="Times New Roman" w:eastAsia="仿宋_GB2312" w:cs="Times New Roman"/>
          <w:color w:val="000000"/>
          <w:kern w:val="2"/>
          <w:sz w:val="32"/>
          <w:szCs w:val="32"/>
          <w:lang w:val="en-US" w:eastAsia="zh-CN" w:bidi="ar-SA"/>
        </w:rPr>
        <w:t>19.机关运行经费：为保障行政单位（含参照公务员法管理的事业单位）运行用于购买货物和服务的各项资金，包括办公及印刷费、邮电费、差旅费、会议费、福利费、日常维修费、专用材料及一般设备购置费、办公用房水电费、办公用房物业管理费、公务用车运行维护费以及其他费用。</w:t>
      </w:r>
    </w:p>
    <w:p>
      <w:pPr>
        <w:spacing w:line="600" w:lineRule="exact"/>
        <w:jc w:val="center"/>
        <w:outlineLvl w:val="0"/>
        <w:rPr>
          <w:rStyle w:val="25"/>
          <w:rFonts w:hint="eastAsia" w:ascii="黑体" w:hAnsi="黑体" w:eastAsia="黑体"/>
          <w:b w:val="0"/>
          <w:color w:val="auto"/>
          <w:highlight w:val="none"/>
        </w:rPr>
      </w:pPr>
      <w:bookmarkStart w:id="51" w:name="_Toc15377226"/>
      <w:r>
        <w:rPr>
          <w:rFonts w:ascii="宋体"/>
          <w:b/>
          <w:color w:val="auto"/>
          <w:sz w:val="44"/>
          <w:szCs w:val="44"/>
          <w:highlight w:val="none"/>
        </w:rPr>
        <w:br w:type="page"/>
      </w:r>
      <w:bookmarkStart w:id="52" w:name="_Toc15396614"/>
      <w:r>
        <w:rPr>
          <w:rFonts w:hint="eastAsia" w:ascii="黑体" w:hAnsi="黑体" w:eastAsia="黑体"/>
          <w:color w:val="auto"/>
          <w:sz w:val="44"/>
          <w:szCs w:val="44"/>
          <w:highlight w:val="none"/>
        </w:rPr>
        <w:t>第</w:t>
      </w:r>
      <w:r>
        <w:rPr>
          <w:rStyle w:val="25"/>
          <w:rFonts w:hint="eastAsia" w:ascii="黑体" w:hAnsi="黑体" w:eastAsia="黑体"/>
          <w:b w:val="0"/>
          <w:color w:val="auto"/>
          <w:highlight w:val="none"/>
        </w:rPr>
        <w:t>四部分 附件</w:t>
      </w:r>
      <w:bookmarkEnd w:id="52"/>
      <w:bookmarkStart w:id="53" w:name="_Toc15396618"/>
    </w:p>
    <w:p>
      <w:pPr>
        <w:pStyle w:val="2"/>
        <w:ind w:left="0" w:leftChars="0" w:firstLine="0" w:firstLineChars="0"/>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ascii="仿宋_GB2312" w:hAnsi="仿宋_GB2312" w:eastAsia="仿宋_GB2312" w:cs="仿宋_GB2312"/>
          <w:color w:val="auto"/>
          <w:kern w:val="2"/>
          <w:sz w:val="32"/>
          <w:szCs w:val="32"/>
          <w:highlight w:val="none"/>
          <w:lang w:val="en-US" w:eastAsia="zh-CN" w:bidi="ar-SA"/>
        </w:rPr>
        <w:t>1</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0"/>
        <w:gridCol w:w="1481"/>
        <w:gridCol w:w="1504"/>
        <w:gridCol w:w="2080"/>
        <w:gridCol w:w="518"/>
        <w:gridCol w:w="772"/>
        <w:gridCol w:w="518"/>
        <w:gridCol w:w="955"/>
        <w:gridCol w:w="531"/>
        <w:gridCol w:w="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957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b/>
                <w:i w:val="0"/>
                <w:color w:val="000000"/>
                <w:sz w:val="30"/>
                <w:szCs w:val="30"/>
                <w:u w:val="none"/>
              </w:rPr>
            </w:pPr>
            <w:r>
              <w:rPr>
                <w:rFonts w:hint="eastAsia" w:ascii="黑体" w:hAnsi="宋体" w:eastAsia="黑体" w:cs="黑体"/>
                <w:b/>
                <w:i w:val="0"/>
                <w:color w:val="000000"/>
                <w:kern w:val="0"/>
                <w:sz w:val="30"/>
                <w:szCs w:val="30"/>
                <w:u w:val="none"/>
                <w:lang w:val="en-US" w:eastAsia="zh-CN" w:bidi="ar"/>
              </w:rPr>
              <w:t>部门预算项目支出绩效自评表（2022年度）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6" w:hRule="atLeast"/>
        </w:trPr>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40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51000021R000000019951-工资性支出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20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3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严格执行相关政策，保障工资及时发放、足额发放，预算编制科学合理，减少结余资金</w:t>
            </w:r>
            <w:r>
              <w:rPr>
                <w:rFonts w:hint="eastAsia" w:ascii="宋体" w:hAnsi="宋体" w:eastAsia="宋体" w:cs="宋体"/>
                <w:i w:val="0"/>
                <w:color w:val="000000"/>
                <w:kern w:val="0"/>
                <w:sz w:val="18"/>
                <w:szCs w:val="18"/>
                <w:u w:val="none"/>
                <w:lang w:val="en-US" w:eastAsia="zh-CN" w:bidi="ar"/>
              </w:rPr>
              <w:t>。</w:t>
            </w:r>
          </w:p>
        </w:tc>
        <w:tc>
          <w:tcPr>
            <w:tcW w:w="20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simhei" w:hAnsi="simhei" w:eastAsia="simhei" w:cs="simhei"/>
                <w:i w:val="0"/>
                <w:color w:val="000000"/>
                <w:sz w:val="18"/>
                <w:szCs w:val="18"/>
                <w:u w:val="none"/>
              </w:rPr>
            </w:pPr>
            <w:r>
              <w:rPr>
                <w:rFonts w:ascii="宋体" w:hAnsi="宋体" w:eastAsia="宋体" w:cs="宋体"/>
                <w:i w:val="0"/>
                <w:iCs w:val="0"/>
                <w:color w:val="000000"/>
                <w:kern w:val="0"/>
                <w:sz w:val="18"/>
                <w:szCs w:val="18"/>
                <w:u w:val="none"/>
                <w:lang w:val="en-US" w:eastAsia="zh-CN" w:bidi="ar"/>
              </w:rPr>
              <w:t>严格执行相关政策，保障工资及时发放、足额发放，预算编制科学合理，减少结余资金。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40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iCs w:val="0"/>
                <w:color w:val="000000"/>
                <w:kern w:val="0"/>
                <w:sz w:val="18"/>
                <w:szCs w:val="18"/>
                <w:u w:val="none"/>
                <w:lang w:val="en-US" w:eastAsia="zh-CN" w:bidi="ar"/>
              </w:rPr>
              <w:t>工资及时足额发放，严格预算执行。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1,516.28</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2,029.73</w:t>
            </w:r>
          </w:p>
        </w:tc>
        <w:tc>
          <w:tcPr>
            <w:tcW w:w="18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1,913.56</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94.28%</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1,516.28</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2,029.73</w:t>
            </w:r>
          </w:p>
        </w:tc>
        <w:tc>
          <w:tcPr>
            <w:tcW w:w="18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1,913.56</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94.28%</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科目调整次数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次</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足额保障率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时效指标</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按时发放率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结余率（计算方法为：结余数/预算数）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9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通过项目实施，保障单位日常运转，按照预算执行要求及时有效的完成，提高预算执行率，保障资金合理支出，严格执行财务管理制度，财务处理及时、会计核算合规。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存在问题</w:t>
            </w:r>
          </w:p>
        </w:tc>
        <w:tc>
          <w:tcPr>
            <w:tcW w:w="889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9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p>
        </w:tc>
      </w:tr>
    </w:tbl>
    <w:p>
      <w:pPr>
        <w:pStyle w:val="2"/>
        <w:ind w:left="0" w:leftChars="0" w:firstLine="0" w:firstLineChars="0"/>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ascii="仿宋_GB2312" w:hAnsi="仿宋_GB2312" w:eastAsia="仿宋_GB2312" w:cs="仿宋_GB2312"/>
          <w:color w:val="auto"/>
          <w:kern w:val="2"/>
          <w:sz w:val="32"/>
          <w:szCs w:val="32"/>
          <w:highlight w:val="none"/>
          <w:lang w:val="en-US" w:eastAsia="zh-CN" w:bidi="ar-SA"/>
        </w:rPr>
        <w:t>2</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1"/>
        <w:gridCol w:w="1652"/>
        <w:gridCol w:w="1332"/>
        <w:gridCol w:w="2077"/>
        <w:gridCol w:w="518"/>
        <w:gridCol w:w="773"/>
        <w:gridCol w:w="518"/>
        <w:gridCol w:w="957"/>
        <w:gridCol w:w="531"/>
        <w:gridCol w:w="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51000021R000000019956-离退休费支出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2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57"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2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2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2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严格执行相关政策，保障工资及时发放、足额发放，预算编制科学合理，减少结余资金</w:t>
            </w:r>
            <w:r>
              <w:rPr>
                <w:rFonts w:hint="eastAsia" w:ascii="宋体" w:hAnsi="宋体" w:eastAsia="宋体" w:cs="宋体"/>
                <w:i w:val="0"/>
                <w:color w:val="000000"/>
                <w:kern w:val="0"/>
                <w:sz w:val="18"/>
                <w:szCs w:val="18"/>
                <w:u w:val="none"/>
                <w:lang w:val="en-US" w:eastAsia="zh-CN" w:bidi="ar"/>
              </w:rPr>
              <w:t>。</w:t>
            </w:r>
          </w:p>
        </w:tc>
        <w:tc>
          <w:tcPr>
            <w:tcW w:w="2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simhei" w:hAnsi="simhei" w:eastAsia="simhei" w:cs="simhei"/>
                <w:i w:val="0"/>
                <w:color w:val="000000"/>
                <w:sz w:val="18"/>
                <w:szCs w:val="18"/>
                <w:u w:val="none"/>
              </w:rPr>
            </w:pPr>
            <w:r>
              <w:rPr>
                <w:rFonts w:ascii="宋体" w:hAnsi="宋体" w:eastAsia="宋体" w:cs="宋体"/>
                <w:i w:val="0"/>
                <w:color w:val="000000"/>
                <w:kern w:val="0"/>
                <w:sz w:val="18"/>
                <w:szCs w:val="18"/>
                <w:u w:val="none"/>
                <w:lang w:val="en-US" w:eastAsia="zh-CN" w:bidi="ar"/>
              </w:rPr>
              <w:t>严格执行相关政策，保障</w:t>
            </w:r>
            <w:r>
              <w:rPr>
                <w:rFonts w:hint="eastAsia" w:ascii="宋体" w:hAnsi="宋体" w:eastAsia="宋体" w:cs="宋体"/>
                <w:i w:val="0"/>
                <w:color w:val="000000"/>
                <w:kern w:val="0"/>
                <w:sz w:val="18"/>
                <w:szCs w:val="18"/>
                <w:u w:val="none"/>
                <w:lang w:val="en-US" w:eastAsia="zh-CN" w:bidi="ar"/>
              </w:rPr>
              <w:t>离退休费用</w:t>
            </w:r>
            <w:r>
              <w:rPr>
                <w:rFonts w:ascii="宋体" w:hAnsi="宋体" w:eastAsia="宋体" w:cs="宋体"/>
                <w:i w:val="0"/>
                <w:color w:val="000000"/>
                <w:kern w:val="0"/>
                <w:sz w:val="18"/>
                <w:szCs w:val="18"/>
                <w:u w:val="none"/>
                <w:lang w:val="en-US" w:eastAsia="zh-CN" w:bidi="ar"/>
              </w:rPr>
              <w:t>及时发放、足额发放</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保障</w:t>
            </w:r>
            <w:r>
              <w:rPr>
                <w:rFonts w:hint="eastAsia" w:ascii="宋体" w:hAnsi="宋体" w:eastAsia="宋体" w:cs="宋体"/>
                <w:i w:val="0"/>
                <w:color w:val="000000"/>
                <w:kern w:val="0"/>
                <w:sz w:val="18"/>
                <w:szCs w:val="18"/>
                <w:u w:val="none"/>
                <w:lang w:val="en-US" w:eastAsia="zh-CN" w:bidi="ar"/>
              </w:rPr>
              <w:t>离退休费用</w:t>
            </w:r>
            <w:r>
              <w:rPr>
                <w:rFonts w:ascii="宋体" w:hAnsi="宋体" w:eastAsia="宋体" w:cs="宋体"/>
                <w:i w:val="0"/>
                <w:color w:val="000000"/>
                <w:kern w:val="0"/>
                <w:sz w:val="18"/>
                <w:szCs w:val="18"/>
                <w:u w:val="none"/>
                <w:lang w:val="en-US" w:eastAsia="zh-CN" w:bidi="ar"/>
              </w:rPr>
              <w:t>及时发放、足额发放</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43.40</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43.40</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43.40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43.40</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43.40</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43.40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科目调整次数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次</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足额保障率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时效指标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按时发放率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结余率（计算方法为：结余数/预算数）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通过项目实施，保障单位日常运转，按照预算执行要求及时有效的完成，提高预算执行率，保障资金合理支出，严格执行财务管理制度，财务处理及时、会计核算合规。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存在问题</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p>
        </w:tc>
      </w:tr>
    </w:tbl>
    <w:p>
      <w:pPr>
        <w:pStyle w:val="2"/>
        <w:rPr>
          <w:rStyle w:val="25"/>
          <w:rFonts w:hint="eastAsia" w:ascii="黑体" w:hAnsi="黑体" w:eastAsia="黑体"/>
          <w:b w:val="0"/>
          <w:color w:val="auto"/>
          <w:highlight w:val="none"/>
        </w:rPr>
      </w:pPr>
    </w:p>
    <w:p>
      <w:pPr>
        <w:rPr>
          <w:rStyle w:val="25"/>
          <w:rFonts w:hint="eastAsia" w:ascii="黑体" w:hAnsi="黑体" w:eastAsia="黑体"/>
          <w:b w:val="0"/>
          <w:color w:val="auto"/>
          <w:highlight w:val="none"/>
        </w:rPr>
      </w:pPr>
    </w:p>
    <w:p>
      <w:pPr>
        <w:pStyle w:val="2"/>
        <w:rPr>
          <w:rStyle w:val="25"/>
          <w:rFonts w:hint="eastAsia" w:ascii="黑体" w:hAnsi="黑体" w:eastAsia="黑体"/>
          <w:b w:val="0"/>
          <w:color w:val="auto"/>
          <w:highlight w:val="none"/>
        </w:rPr>
      </w:pPr>
    </w:p>
    <w:p>
      <w:pPr>
        <w:rPr>
          <w:rFonts w:hint="eastAsia"/>
        </w:rPr>
      </w:pPr>
    </w:p>
    <w:p>
      <w:pPr>
        <w:pStyle w:val="2"/>
        <w:ind w:left="0" w:leftChars="0" w:firstLine="0" w:firstLineChars="0"/>
        <w:rPr>
          <w:rFonts w:hint="eastAsi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ascii="仿宋_GB2312" w:hAnsi="仿宋_GB2312" w:eastAsia="仿宋_GB2312" w:cs="仿宋_GB2312"/>
          <w:color w:val="auto"/>
          <w:kern w:val="2"/>
          <w:sz w:val="32"/>
          <w:szCs w:val="32"/>
          <w:highlight w:val="none"/>
          <w:lang w:val="en-US" w:eastAsia="zh-CN" w:bidi="ar-SA"/>
        </w:rPr>
        <w:t>3</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1"/>
        <w:gridCol w:w="1647"/>
        <w:gridCol w:w="1331"/>
        <w:gridCol w:w="2089"/>
        <w:gridCol w:w="517"/>
        <w:gridCol w:w="771"/>
        <w:gridCol w:w="517"/>
        <w:gridCol w:w="954"/>
        <w:gridCol w:w="531"/>
        <w:gridCol w:w="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51000021Y000000011490-定额公用经费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2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54"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1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2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20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2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保障单位日常运转，提高预算编制质量，严格执行预算</w:t>
            </w:r>
            <w:r>
              <w:rPr>
                <w:rFonts w:hint="eastAsia" w:ascii="宋体" w:hAnsi="宋体" w:eastAsia="宋体" w:cs="宋体"/>
                <w:i w:val="0"/>
                <w:color w:val="000000"/>
                <w:kern w:val="0"/>
                <w:sz w:val="18"/>
                <w:szCs w:val="18"/>
                <w:u w:val="none"/>
                <w:lang w:val="en-US" w:eastAsia="zh-CN" w:bidi="ar"/>
              </w:rPr>
              <w:t>。</w:t>
            </w:r>
          </w:p>
        </w:tc>
        <w:tc>
          <w:tcPr>
            <w:tcW w:w="20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simhei" w:hAnsi="simhei" w:eastAsia="simhei" w:cs="simhei"/>
                <w:i w:val="0"/>
                <w:color w:val="000000"/>
                <w:sz w:val="18"/>
                <w:szCs w:val="18"/>
                <w:u w:val="none"/>
              </w:rPr>
            </w:pPr>
            <w:r>
              <w:rPr>
                <w:rFonts w:ascii="宋体" w:hAnsi="宋体" w:eastAsia="宋体" w:cs="宋体"/>
                <w:i w:val="0"/>
                <w:color w:val="000000"/>
                <w:kern w:val="0"/>
                <w:sz w:val="18"/>
                <w:szCs w:val="18"/>
                <w:u w:val="none"/>
                <w:lang w:val="en-US" w:eastAsia="zh-CN" w:bidi="ar"/>
              </w:rPr>
              <w:t>保障单位日常运转，提高预算编制质量，严格执行预算</w:t>
            </w: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iCs w:val="0"/>
                <w:color w:val="000000"/>
                <w:kern w:val="0"/>
                <w:sz w:val="18"/>
                <w:szCs w:val="18"/>
                <w:u w:val="none"/>
                <w:lang w:val="en-US" w:eastAsia="zh-CN" w:bidi="ar"/>
              </w:rPr>
              <w:t>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240.75</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238.75</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200.29</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83.89%</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240.75</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238.75</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200.29</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83.89%</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科目调整次数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次</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质量指标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预算编制准确率（计算方法为：∣（执行数-预算数）/预算数∣）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“三公经费”控制率[计算方法为：（三公经费实际支出数/预算安排数]×100%）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运转保障率</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0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通过项目实施，保障单位日常运转，按照预算执行要求及时有效的完成，提高预算执行率，保障资金合理支出，严格执行财务管理制度，财务处理及时、会计核算合规。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存在问题</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p>
        </w:tc>
      </w:tr>
    </w:tbl>
    <w:p>
      <w:pPr>
        <w:pStyle w:val="2"/>
        <w:ind w:left="0" w:leftChars="0" w:firstLine="0" w:firstLineChars="0"/>
        <w:rPr>
          <w:rFonts w:hint="eastAsi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ascii="仿宋_GB2312" w:hAnsi="仿宋_GB2312" w:eastAsia="仿宋_GB2312" w:cs="仿宋_GB2312"/>
          <w:color w:val="auto"/>
          <w:kern w:val="2"/>
          <w:sz w:val="32"/>
          <w:szCs w:val="32"/>
          <w:highlight w:val="none"/>
          <w:lang w:val="en-US" w:eastAsia="zh-CN" w:bidi="ar-SA"/>
        </w:rPr>
        <w:t>4</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3"/>
        <w:gridCol w:w="1672"/>
        <w:gridCol w:w="1344"/>
        <w:gridCol w:w="2104"/>
        <w:gridCol w:w="520"/>
        <w:gridCol w:w="777"/>
        <w:gridCol w:w="380"/>
        <w:gridCol w:w="1099"/>
        <w:gridCol w:w="505"/>
        <w:gridCol w:w="4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51080021T000000051436-办案成本支出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1"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1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109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1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20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3"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1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完成办理留置案件和非留置案件，追缴违纪款，惩治腐败蔓延。</w:t>
            </w:r>
          </w:p>
        </w:tc>
        <w:tc>
          <w:tcPr>
            <w:tcW w:w="20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simhei" w:hAnsi="simhei" w:eastAsia="simhei" w:cs="simhei"/>
                <w:i w:val="0"/>
                <w:color w:val="000000"/>
                <w:sz w:val="18"/>
                <w:szCs w:val="18"/>
                <w:u w:val="none"/>
              </w:rPr>
            </w:pPr>
            <w:r>
              <w:rPr>
                <w:rFonts w:ascii="宋体" w:hAnsi="宋体" w:eastAsia="宋体" w:cs="宋体"/>
                <w:i w:val="0"/>
                <w:color w:val="000000"/>
                <w:kern w:val="0"/>
                <w:sz w:val="18"/>
                <w:szCs w:val="18"/>
                <w:u w:val="none"/>
                <w:lang w:val="en-US" w:eastAsia="zh-CN" w:bidi="ar"/>
              </w:rPr>
              <w:t>完成案件</w:t>
            </w:r>
            <w:r>
              <w:rPr>
                <w:rFonts w:hint="eastAsia" w:ascii="宋体" w:hAnsi="宋体" w:cs="宋体"/>
                <w:i w:val="0"/>
                <w:color w:val="000000"/>
                <w:kern w:val="0"/>
                <w:sz w:val="18"/>
                <w:szCs w:val="18"/>
                <w:u w:val="none"/>
                <w:lang w:val="en-US" w:eastAsia="zh-CN" w:bidi="ar"/>
              </w:rPr>
              <w:t>办理</w:t>
            </w:r>
            <w:r>
              <w:rPr>
                <w:rFonts w:ascii="宋体" w:hAnsi="宋体" w:eastAsia="宋体" w:cs="宋体"/>
                <w:i w:val="0"/>
                <w:color w:val="000000"/>
                <w:kern w:val="0"/>
                <w:sz w:val="18"/>
                <w:szCs w:val="18"/>
                <w:u w:val="none"/>
                <w:lang w:val="en-US" w:eastAsia="zh-CN" w:bidi="ar"/>
              </w:rPr>
              <w:t>，追缴违纪款，惩治腐败蔓延。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w:t>
            </w:r>
            <w:r>
              <w:rPr>
                <w:rFonts w:hint="eastAsia" w:ascii="宋体" w:hAnsi="宋体" w:eastAsia="宋体" w:cs="宋体"/>
                <w:i w:val="0"/>
                <w:color w:val="000000"/>
                <w:kern w:val="0"/>
                <w:sz w:val="18"/>
                <w:szCs w:val="18"/>
                <w:u w:val="none"/>
                <w:lang w:val="en-US" w:eastAsia="zh-CN" w:bidi="ar"/>
              </w:rPr>
              <w:t>了</w:t>
            </w:r>
            <w:r>
              <w:rPr>
                <w:rFonts w:ascii="宋体" w:hAnsi="宋体" w:eastAsia="宋体" w:cs="宋体"/>
                <w:i w:val="0"/>
                <w:color w:val="000000"/>
                <w:kern w:val="0"/>
                <w:sz w:val="18"/>
                <w:szCs w:val="18"/>
                <w:u w:val="none"/>
                <w:lang w:val="en-US" w:eastAsia="zh-CN" w:bidi="ar"/>
              </w:rPr>
              <w:t>办理留置案件和非留置案件，追缴</w:t>
            </w:r>
            <w:r>
              <w:rPr>
                <w:rFonts w:hint="eastAsia" w:ascii="宋体" w:hAnsi="宋体" w:cs="宋体"/>
                <w:i w:val="0"/>
                <w:color w:val="000000"/>
                <w:kern w:val="0"/>
                <w:sz w:val="18"/>
                <w:szCs w:val="18"/>
                <w:u w:val="none"/>
                <w:lang w:val="en-US" w:eastAsia="zh-CN" w:bidi="ar"/>
              </w:rPr>
              <w:t>了</w:t>
            </w:r>
            <w:r>
              <w:rPr>
                <w:rFonts w:ascii="宋体" w:hAnsi="宋体" w:eastAsia="宋体" w:cs="宋体"/>
                <w:i w:val="0"/>
                <w:color w:val="000000"/>
                <w:kern w:val="0"/>
                <w:sz w:val="18"/>
                <w:szCs w:val="18"/>
                <w:u w:val="none"/>
                <w:lang w:val="en-US" w:eastAsia="zh-CN" w:bidi="ar"/>
              </w:rPr>
              <w:t>违纪款，惩治腐败蔓延。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6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80.00</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80.00</w:t>
            </w:r>
          </w:p>
        </w:tc>
        <w:tc>
          <w:tcPr>
            <w:tcW w:w="16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80.00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7"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80.00</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80.00</w:t>
            </w:r>
          </w:p>
        </w:tc>
        <w:tc>
          <w:tcPr>
            <w:tcW w:w="16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80.00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6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6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6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全年办理案件30件以上</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件</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质量指标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案件办理质量</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时效指标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完成时间</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成本指标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办案成本</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万元</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80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追缴违纪款，完成全年财政非税收入任务。</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社会效益指标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促进办理腐败案件，有效惩治腐败蔓延。</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可持续影响指标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法纪意识</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满意度指标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服务对象满意度指标</w:t>
            </w:r>
          </w:p>
        </w:tc>
        <w:tc>
          <w:tcPr>
            <w:tcW w:w="2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群众满意度</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90</w:t>
            </w:r>
          </w:p>
        </w:tc>
        <w:tc>
          <w:tcPr>
            <w:tcW w:w="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90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7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通过项目的实施，追缴违法违纪款项，减少国家国有资产损失，促进地方经济发展，净化地方政治生态系统。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p>
        </w:tc>
      </w:tr>
    </w:tbl>
    <w:p>
      <w:pPr>
        <w:pStyle w:val="2"/>
        <w:ind w:left="0" w:leftChars="0" w:firstLine="0" w:firstLineChars="0"/>
        <w:rPr>
          <w:rFonts w:hint="eastAsia" w:ascii="仿宋_GB2312" w:hAnsi="仿宋_GB2312" w:eastAsia="仿宋_GB2312" w:cs="仿宋_GB2312"/>
          <w:color w:val="auto"/>
          <w:kern w:val="2"/>
          <w:sz w:val="32"/>
          <w:szCs w:val="32"/>
          <w:highlight w:val="none"/>
          <w:lang w:val="zh-CN" w:eastAsia="zh-CN" w:bidi="ar-SA"/>
        </w:rPr>
      </w:pPr>
    </w:p>
    <w:p>
      <w:pPr>
        <w:pStyle w:val="2"/>
        <w:ind w:left="0" w:leftChars="0" w:firstLine="0" w:firstLineChars="0"/>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ascii="仿宋_GB2312" w:hAnsi="仿宋_GB2312" w:eastAsia="仿宋_GB2312" w:cs="仿宋_GB2312"/>
          <w:color w:val="auto"/>
          <w:kern w:val="2"/>
          <w:sz w:val="32"/>
          <w:szCs w:val="32"/>
          <w:highlight w:val="none"/>
          <w:lang w:val="en-US" w:eastAsia="zh-CN" w:bidi="ar-SA"/>
        </w:rPr>
        <w:t>5</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3"/>
        <w:gridCol w:w="1672"/>
        <w:gridCol w:w="1344"/>
        <w:gridCol w:w="2103"/>
        <w:gridCol w:w="520"/>
        <w:gridCol w:w="778"/>
        <w:gridCol w:w="520"/>
        <w:gridCol w:w="959"/>
        <w:gridCol w:w="505"/>
        <w:gridCol w:w="4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51080021T000000052580-纪检监察内部督查专项经费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5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9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19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各县区纪委监委和部分派驻机构的内部监督，对管辖范围内的纪检监察干部监督工作。</w:t>
            </w:r>
          </w:p>
        </w:tc>
        <w:tc>
          <w:tcPr>
            <w:tcW w:w="19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simhei" w:hAnsi="simhei" w:eastAsia="simhei" w:cs="simhei"/>
                <w:i w:val="0"/>
                <w:color w:val="000000"/>
                <w:sz w:val="18"/>
                <w:szCs w:val="18"/>
                <w:u w:val="none"/>
                <w:lang w:eastAsia="zh-CN"/>
              </w:rPr>
            </w:pPr>
            <w:r>
              <w:rPr>
                <w:rFonts w:hint="eastAsia" w:ascii="宋体" w:hAnsi="宋体" w:eastAsia="宋体" w:cs="宋体"/>
                <w:i w:val="0"/>
                <w:color w:val="000000"/>
                <w:kern w:val="0"/>
                <w:sz w:val="18"/>
                <w:szCs w:val="18"/>
                <w:u w:val="none"/>
                <w:lang w:val="en-US" w:eastAsia="zh-CN" w:bidi="ar"/>
              </w:rPr>
              <w:t>通过对全市纪检监察干部的监督，锻造一支蜀道铁军的队伍。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3"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各县区纪委监委和部分派驻机构的内部监督，对管辖范围内的纪检监察干部监督工作。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内部督查数量</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次/年</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质量指标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覆盖率</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时效指标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完成时间</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成本指标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监督工作经费</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万元</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社会效益指标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纪检干部队伍建设</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可持续影响指标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纪检监察工作</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满意度指标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服务对象满意度指标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被监督单位</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7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通过项目的实施，</w:t>
            </w:r>
            <w:r>
              <w:rPr>
                <w:rFonts w:hint="default" w:ascii="宋体" w:hAnsi="宋体" w:eastAsia="宋体" w:cs="宋体"/>
                <w:i w:val="0"/>
                <w:iCs w:val="0"/>
                <w:color w:val="000000"/>
                <w:kern w:val="0"/>
                <w:sz w:val="16"/>
                <w:szCs w:val="16"/>
                <w:u w:val="none"/>
                <w:lang w:val="zh-CN" w:eastAsia="zh-CN" w:bidi="ar"/>
              </w:rPr>
              <w:t>实现</w:t>
            </w:r>
            <w:r>
              <w:rPr>
                <w:rFonts w:hint="eastAsia" w:ascii="宋体" w:hAnsi="宋体" w:eastAsia="宋体" w:cs="宋体"/>
                <w:i w:val="0"/>
                <w:iCs w:val="0"/>
                <w:color w:val="000000"/>
                <w:kern w:val="0"/>
                <w:sz w:val="16"/>
                <w:szCs w:val="16"/>
                <w:u w:val="none"/>
                <w:lang w:val="zh-CN" w:eastAsia="zh-CN" w:bidi="ar"/>
              </w:rPr>
              <w:t>了</w:t>
            </w:r>
            <w:r>
              <w:rPr>
                <w:rFonts w:hint="default" w:ascii="宋体" w:hAnsi="宋体" w:eastAsia="宋体" w:cs="宋体"/>
                <w:i w:val="0"/>
                <w:iCs w:val="0"/>
                <w:color w:val="000000"/>
                <w:kern w:val="0"/>
                <w:sz w:val="16"/>
                <w:szCs w:val="16"/>
                <w:u w:val="none"/>
                <w:lang w:val="zh-CN" w:eastAsia="zh-CN" w:bidi="ar"/>
              </w:rPr>
              <w:t>计划目标</w:t>
            </w:r>
            <w:r>
              <w:rPr>
                <w:rFonts w:hint="eastAsia" w:ascii="宋体" w:hAnsi="宋体" w:eastAsia="宋体" w:cs="宋体"/>
                <w:i w:val="0"/>
                <w:iCs w:val="0"/>
                <w:color w:val="000000"/>
                <w:kern w:val="0"/>
                <w:sz w:val="16"/>
                <w:szCs w:val="16"/>
                <w:u w:val="none"/>
                <w:lang w:val="zh-CN" w:eastAsia="zh-CN" w:bidi="ar"/>
              </w:rPr>
              <w:t>，</w:t>
            </w:r>
            <w:r>
              <w:rPr>
                <w:rFonts w:hint="default" w:ascii="宋体" w:hAnsi="宋体" w:eastAsia="宋体" w:cs="宋体"/>
                <w:i w:val="0"/>
                <w:iCs w:val="0"/>
                <w:color w:val="000000"/>
                <w:kern w:val="0"/>
                <w:sz w:val="16"/>
                <w:szCs w:val="16"/>
                <w:u w:val="none"/>
                <w:lang w:val="zh-CN" w:eastAsia="zh-CN" w:bidi="ar"/>
              </w:rPr>
              <w:t>项目取得了良好效果</w:t>
            </w:r>
            <w:r>
              <w:rPr>
                <w:rFonts w:hint="eastAsia" w:ascii="宋体" w:hAnsi="宋体" w:eastAsia="宋体" w:cs="宋体"/>
                <w:i w:val="0"/>
                <w:iCs w:val="0"/>
                <w:color w:val="000000"/>
                <w:kern w:val="0"/>
                <w:sz w:val="16"/>
                <w:szCs w:val="16"/>
                <w:u w:val="none"/>
                <w:lang w:val="zh-CN"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p>
        </w:tc>
      </w:tr>
    </w:tbl>
    <w:p>
      <w:pPr>
        <w:rPr>
          <w:rFonts w:hint="eastAsia"/>
        </w:rPr>
      </w:pPr>
    </w:p>
    <w:p>
      <w:pPr>
        <w:pStyle w:val="2"/>
        <w:rPr>
          <w:rFonts w:hint="eastAsia"/>
        </w:rPr>
      </w:pPr>
    </w:p>
    <w:p>
      <w:pPr>
        <w:pStyle w:val="2"/>
        <w:ind w:left="0" w:leftChars="0" w:firstLine="0" w:firstLineChars="0"/>
        <w:rPr>
          <w:rFonts w:hint="default"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ascii="仿宋_GB2312" w:hAnsi="仿宋_GB2312" w:eastAsia="仿宋_GB2312" w:cs="仿宋_GB2312"/>
          <w:color w:val="auto"/>
          <w:kern w:val="2"/>
          <w:sz w:val="32"/>
          <w:szCs w:val="32"/>
          <w:highlight w:val="none"/>
          <w:lang w:val="en-US" w:eastAsia="zh-CN" w:bidi="ar-SA"/>
        </w:rPr>
        <w:t>6</w:t>
      </w:r>
    </w:p>
    <w:tbl>
      <w:tblPr>
        <w:tblStyle w:val="13"/>
        <w:tblW w:w="939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1"/>
        <w:gridCol w:w="1320"/>
        <w:gridCol w:w="1380"/>
        <w:gridCol w:w="1080"/>
        <w:gridCol w:w="675"/>
        <w:gridCol w:w="750"/>
        <w:gridCol w:w="870"/>
        <w:gridCol w:w="645"/>
        <w:gridCol w:w="885"/>
        <w:gridCol w:w="1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1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72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党风廉政建设宣传及警示教育工作专项经费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1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主管部门（盖章）</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实施单位 （盖章）</w:t>
            </w:r>
          </w:p>
        </w:tc>
        <w:tc>
          <w:tcPr>
            <w:tcW w:w="2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项目基本情况</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1.项目年度目标完成情况</w:t>
            </w: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项目年度目标</w:t>
            </w:r>
          </w:p>
        </w:tc>
        <w:tc>
          <w:tcPr>
            <w:tcW w:w="41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31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通过开展全市党风廉政建设成果图片展，开办“蜀道清风”周刊，编制教育读本、摄制警示教育片，从而教育引导党员干部树立廉洁意识，提高党员干部拒腐防变能力。</w:t>
            </w:r>
          </w:p>
        </w:tc>
        <w:tc>
          <w:tcPr>
            <w:tcW w:w="41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开展全市党风廉政建设成果图片展，开展“蜀道清风”廉洁文化书法美术摄影作品展，编制教育读本，摄制警示教育片，制作家风教育地图并融入旅游地图，组织5300余名领导干部参加全面从严治党应知应会知识在线学习测试，坚持定期发送廉政短信，《我的父亲许大勇》微电影被评为全国党员教育电视片优秀作品，从而教育引导党员干部，树立廉洁意识，提高党员干部拒腐防变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2.项目实施内容及过程概述</w:t>
            </w:r>
          </w:p>
        </w:tc>
        <w:tc>
          <w:tcPr>
            <w:tcW w:w="72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制作警示教育片13部，召开全市性警示教育大会5场</w:t>
            </w:r>
            <w:r>
              <w:rPr>
                <w:rFonts w:hint="eastAsia" w:ascii="宋体" w:hAnsi="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创新开展党风廉政建设巡展、巡讲、巡演、巡访“四巡”活动，组织市县党员干部参观党风廉政建设图片展，市委书记带头为市级部门“一把手”上廉政党课，分层分类举办廉政文艺汇演，市县纪委监委联动开展“带案下访”解民忧、化民怨。坚持以“大宣传观、大作品观、大协调观”引领推动党风廉政建设宣传教育工作，全年在中央、省级核心媒体及平台上稿实现“双增长”，相关做法在全省党风廉政建设宣传工作会做案例分享。项目实施进度完成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预算执行情况（10分）</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年度预算数（万元）</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调整后预算数</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预算执行数</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预算执行率</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总额</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29.86</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其中：财政资金</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29.86</w:t>
            </w: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99.53%</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财政专户管理资金</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单位资金</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其他资金</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绩效指标（90分）</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指标性质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度量单位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完成值</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警示教育片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党风廉政建设成果图片展</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警示教育读本</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册</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完成项目时间</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树立廉洁意识</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干部满意度</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8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1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部门（单位）自评结论</w:t>
            </w:r>
          </w:p>
        </w:tc>
        <w:tc>
          <w:tcPr>
            <w:tcW w:w="72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目在决策方面，决策依据基本充分、资金分配合理；在项目管理方面，资金到位及时、资金支出的依据、使用范围、开支标准基本符合规定，财务制度、会计核算健全规范；在项目完成方面，实现计划目标；在项目效果方面，项目的开展，取得了良好效果。通过对该项目三级指标的分析考评，综合评价结果为优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1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部门（单位）自评存在问题</w:t>
            </w:r>
          </w:p>
        </w:tc>
        <w:tc>
          <w:tcPr>
            <w:tcW w:w="72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重点宣传工作进一步强化，宣传队伍业务素质进一步提升，创新意识有待加强。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21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部门（单位）自评改进措施</w:t>
            </w:r>
          </w:p>
        </w:tc>
        <w:tc>
          <w:tcPr>
            <w:tcW w:w="72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是持续强化正面宣传，唱响主旋律；二是持续发挥协调作用，奏响大合唱；三是持续做好纪法教育，筑牢内防线；四是持续推进廉政文化建设，提升影响力；五是要加强对绩效评价实施主体的培训，提高业务水平及预算绩效管理意识。</w:t>
            </w:r>
          </w:p>
        </w:tc>
      </w:tr>
    </w:tbl>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default" w:ascii="仿宋_GB2312" w:hAnsi="Calibri" w:eastAsia="仿宋_GB2312" w:cs="仿宋"/>
          <w:color w:val="auto"/>
          <w:kern w:val="0"/>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hAnsi="Calibri" w:cs="仿宋"/>
          <w:color w:val="auto"/>
          <w:kern w:val="0"/>
          <w:sz w:val="32"/>
          <w:szCs w:val="32"/>
          <w:highlight w:val="none"/>
          <w:lang w:val="en-US" w:eastAsia="zh-CN" w:bidi="ar-SA"/>
        </w:rPr>
        <w:t>7</w:t>
      </w:r>
    </w:p>
    <w:tbl>
      <w:tblPr>
        <w:tblStyle w:val="13"/>
        <w:tblW w:w="981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1"/>
        <w:gridCol w:w="1020"/>
        <w:gridCol w:w="810"/>
        <w:gridCol w:w="1155"/>
        <w:gridCol w:w="1005"/>
        <w:gridCol w:w="885"/>
        <w:gridCol w:w="615"/>
        <w:gridCol w:w="1170"/>
        <w:gridCol w:w="705"/>
        <w:gridCol w:w="645"/>
        <w:gridCol w:w="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8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798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纪检监察信息化建设及标准化谈话室运维专项经费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8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主管部门（盖章）</w:t>
            </w:r>
          </w:p>
        </w:tc>
        <w:tc>
          <w:tcPr>
            <w:tcW w:w="2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实施单位 （盖章）</w:t>
            </w:r>
          </w:p>
        </w:tc>
        <w:tc>
          <w:tcPr>
            <w:tcW w:w="35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项目基本情况</w:t>
            </w: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1.项目年度目标完成情况</w:t>
            </w:r>
          </w:p>
        </w:tc>
        <w:tc>
          <w:tcPr>
            <w:tcW w:w="2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项目年度目标</w:t>
            </w:r>
          </w:p>
        </w:tc>
        <w:tc>
          <w:tcPr>
            <w:tcW w:w="50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2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人手一机”要求，开展全市纪检监察内网安可替代及分级保护建设工作；加强纪检监察高清视频会议系统建设、运维和线路租用；做好蜀道清风网站等级保护建设及微信公众号运营维护；加强廉政短信平台运行维护等。</w:t>
            </w:r>
          </w:p>
        </w:tc>
        <w:tc>
          <w:tcPr>
            <w:tcW w:w="501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开展全市纪检监察内网安可替代及分级保护建设工作，建设全省纪检监察信息查询平台终端1个，建成纪检监察涉密信息系统，新增终端接入点位，同时，纪检监察涉密信息系统将完成向电子政务内网迁移，蜀道清风网站等级保护建设及微信公众号运营维护和廉政短信平台运行维护，确保网络和平台运行规范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2.项目实施内容及过程概述</w:t>
            </w:r>
          </w:p>
        </w:tc>
        <w:tc>
          <w:tcPr>
            <w:tcW w:w="798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开展全市纪检监察内网安可替代及分级保护建设工作，建设全省纪检监察信息查询平台终端1个，建成纪检监察涉密信息系统，新增终端接入点位，同时，纪检监察涉密信息系统将完成向电子政务内网迁移，蜀道清风网站等级保护建设及微信公众号运营维护和廉政短信平台运行维护，平台查询效率大幅度提升，工作效率大幅度提高，以公开促公正、以透明保廉洁，提升监督质效，在一定程度上减少了腐败的机会，起到了从源头上预防和治理腐败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预算执行情况（10分）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年度预算数（万元）</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调整后预算数</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预算执行数</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原因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总额</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46.40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46.40%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 </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 </w:t>
            </w:r>
          </w:p>
        </w:tc>
        <w:tc>
          <w:tcPr>
            <w:tcW w:w="9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受疫情影响，年底项目待验收，因而预算执行进度较慢。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其中：财政资金</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46.40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46.40%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财政专户管理资金</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单位资金</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其他资金</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绩效指标（90分）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指标性质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度量单位</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完成值</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涉密专网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等级保护测评</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网络平台安全运行</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可操作性</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完成项目时间</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软硬件购置成本及运行维护成本</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46.4</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工作效率</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涉密信息系统</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6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部门（单位）自评结论</w:t>
            </w:r>
          </w:p>
        </w:tc>
        <w:tc>
          <w:tcPr>
            <w:tcW w:w="90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目在决策方面，决策依据基本充分、资金分配合理；在项目管理方面，资金到位及时、资金支出的依据、使用范围、开支标准基本符合规定，财务制度、会计核算健全规范；在项目完成方面，实现计划目标；在项目效果方面，项目的开展，取得了良好效果。通过对该项目三级指标的分析考评，综合评价结果为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部门（单位）自评存在问题</w:t>
            </w:r>
          </w:p>
        </w:tc>
        <w:tc>
          <w:tcPr>
            <w:tcW w:w="90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信息化建设工作力量较弱，系统管理员由宣传部纪检干部兼任，没有专职从事信息系统管理的人员。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部门（单位）自评改进措施</w:t>
            </w:r>
          </w:p>
        </w:tc>
        <w:tc>
          <w:tcPr>
            <w:tcW w:w="900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一是要强化单位信息化系统建设和纪检监察干部队伍建设，提升干部的综合素质和业务水平。二是要加强对绩效评价实施主体的培训，提高绩效业务水平及预算绩效管理意识。</w:t>
            </w:r>
          </w:p>
        </w:tc>
      </w:tr>
    </w:tbl>
    <w:p>
      <w:pPr>
        <w:pStyle w:val="6"/>
        <w:rPr>
          <w:rFonts w:hint="default"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default" w:ascii="仿宋_GB2312" w:hAnsi="Calibri" w:eastAsia="仿宋_GB2312" w:cs="仿宋"/>
          <w:color w:val="auto"/>
          <w:kern w:val="0"/>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hAnsi="Calibri" w:cs="仿宋"/>
          <w:color w:val="auto"/>
          <w:kern w:val="0"/>
          <w:sz w:val="32"/>
          <w:szCs w:val="32"/>
          <w:highlight w:val="none"/>
          <w:lang w:val="en-US" w:eastAsia="zh-CN" w:bidi="ar-SA"/>
        </w:rPr>
        <w:t>8</w:t>
      </w:r>
    </w:p>
    <w:tbl>
      <w:tblPr>
        <w:tblStyle w:val="13"/>
        <w:tblW w:w="94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83"/>
        <w:gridCol w:w="1272"/>
        <w:gridCol w:w="1081"/>
        <w:gridCol w:w="1258"/>
        <w:gridCol w:w="631"/>
        <w:gridCol w:w="804"/>
        <w:gridCol w:w="711"/>
        <w:gridCol w:w="885"/>
        <w:gridCol w:w="960"/>
        <w:gridCol w:w="9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73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深化“三项改革”工作专项经费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主管部门（盖章）</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实施单位 （盖章）</w:t>
            </w:r>
          </w:p>
        </w:tc>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项目基本情况</w:t>
            </w:r>
          </w:p>
        </w:tc>
        <w:tc>
          <w:tcPr>
            <w:tcW w:w="12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1.项目年度目标完成情况</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项目年度目标</w:t>
            </w:r>
          </w:p>
        </w:tc>
        <w:tc>
          <w:tcPr>
            <w:tcW w:w="28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2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通过探索纪律检查体制改革、国家监察体制改革、纪检监察机构改革相关工作，促进纪检监察工作稳健发展。</w:t>
            </w:r>
          </w:p>
        </w:tc>
        <w:tc>
          <w:tcPr>
            <w:tcW w:w="28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市级派驻机构优化调整、创新建立“4321”精准监督模式，建立联动提级交叉巡察机制，构建统筹疫情防控和经济社会发展“大督战”机制等，在绩效目标完成方面，取得了一定的社会效益，促进纪检监察工作稳健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2.项目实施内容及过程概述</w:t>
            </w:r>
          </w:p>
        </w:tc>
        <w:tc>
          <w:tcPr>
            <w:tcW w:w="73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开展市级派驻机构优化调整，加大市县纪委监委机关、巡察机构、派驻（出）机构之间的干部交流，基本实现乡镇纪委书记专职，全面推行村党组织副书记、村级纪检委员（纪委书记）、监察工作信息员、村务监督委员会主任“四职合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预算执行情况（10分）</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年度预算数（万元）</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调整后预算数</w:t>
            </w:r>
          </w:p>
        </w:tc>
        <w:tc>
          <w:tcPr>
            <w:tcW w:w="2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预算执行数</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总额</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 </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其中：财政资金</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财政专户管理资金</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单位资金</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其他资金</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1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绩效指标（90分）</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指标性质</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度量单位</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完成值</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机构改革调研次数</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改革任务完成度</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完成项目时间</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工作经费成本支出</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机制建设</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推动纪检监察工作</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2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6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52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部门（单位）自评结论</w:t>
            </w:r>
          </w:p>
        </w:tc>
        <w:tc>
          <w:tcPr>
            <w:tcW w:w="857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目在决策方面，决策依据基本充分、资金分配合理；在项目管理方面，资金到位及时、资金支出的依据、使用范围、开支标准基本符合规定，财务制度、会计核算健全规范；在项目完成方面，实现计划目标；在项目效果方面，项目的开展，取得了良好效果。通过对该项目三级指标的分析考评，综合评价结果为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部门（单位）自评存在问题</w:t>
            </w:r>
          </w:p>
        </w:tc>
        <w:tc>
          <w:tcPr>
            <w:tcW w:w="857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思想认识不足，基层落实“三转”工作存在困难和问题，职能定位不够准确，工作方式上面存在缺位。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8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部门（单位）自评改进措施</w:t>
            </w:r>
          </w:p>
        </w:tc>
        <w:tc>
          <w:tcPr>
            <w:tcW w:w="857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加强和深入推进推进乡镇纪委规范化建设，切实提高政治站位，全面提高履职能力，增强执纪监督的能力。</w:t>
            </w:r>
          </w:p>
        </w:tc>
      </w:tr>
    </w:tbl>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default" w:hAnsi="Calibri" w:cs="仿宋"/>
          <w:color w:val="auto"/>
          <w:kern w:val="0"/>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hAnsi="Calibri" w:cs="仿宋"/>
          <w:color w:val="auto"/>
          <w:kern w:val="0"/>
          <w:sz w:val="32"/>
          <w:szCs w:val="32"/>
          <w:highlight w:val="none"/>
          <w:lang w:val="en-US" w:eastAsia="zh-CN" w:bidi="ar-SA"/>
        </w:rPr>
        <w:t>9</w:t>
      </w:r>
    </w:p>
    <w:tbl>
      <w:tblPr>
        <w:tblStyle w:val="13"/>
        <w:tblW w:w="951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13"/>
        <w:gridCol w:w="1206"/>
        <w:gridCol w:w="1415"/>
        <w:gridCol w:w="1026"/>
        <w:gridCol w:w="948"/>
        <w:gridCol w:w="791"/>
        <w:gridCol w:w="519"/>
        <w:gridCol w:w="771"/>
        <w:gridCol w:w="548"/>
        <w:gridCol w:w="12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729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市委巡察办专项经费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22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主管部门（盖章）</w:t>
            </w:r>
          </w:p>
        </w:tc>
        <w:tc>
          <w:tcPr>
            <w:tcW w:w="46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实施单位 （盖章）</w:t>
            </w:r>
          </w:p>
        </w:tc>
        <w:tc>
          <w:tcPr>
            <w:tcW w:w="18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项目基本情况</w:t>
            </w:r>
          </w:p>
        </w:tc>
        <w:tc>
          <w:tcPr>
            <w:tcW w:w="12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1.项目年度目标完成情况</w:t>
            </w:r>
          </w:p>
        </w:tc>
        <w:tc>
          <w:tcPr>
            <w:tcW w:w="46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项目年度目标</w:t>
            </w:r>
          </w:p>
        </w:tc>
        <w:tc>
          <w:tcPr>
            <w:tcW w:w="25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2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69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保障巡察办履行统筹协调、督导指导、服务保障职责，贯彻落实中央省委和市委巡察工作和部署，完成市委和巡察工作领导小组决定事项；保障市委各巡察组、省委联动巡视巡察组、广元市帮扶壤塘县委巡察、壤塘县委巡察组来广跟班学习、提级交叉联动巡察，保障了信息建设工作顺利推进。</w:t>
            </w:r>
          </w:p>
        </w:tc>
        <w:tc>
          <w:tcPr>
            <w:tcW w:w="25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面完成本年度各项目标任务，完开展八届市委第四轮、第五轮常规巡察，全面贯彻巡视工作方针，把“两个维护”作为根本任务，紧紧围绕履行好党的领导职能责任强化监督，重点发现和推动解决学习贯彻党的二十大精神、实施“十四五”规划、贯彻新发展理念、落实管党治党政治责任等方面突出问题，确保党中央和省委、市委各项决策部署落地见效，提升了群众的获得感幸福感安全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2.项目实施内容及过程概述</w:t>
            </w:r>
          </w:p>
        </w:tc>
        <w:tc>
          <w:tcPr>
            <w:tcW w:w="729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省委办印发的《四川省市（州）、县（市、区）党委巡察工作办法》规定，优化和明确市县巡察工作职能职责，保障了市委巡察机构有序运转和工作正常开展。高质量推进巡察全覆盖，板块轮动组织开展八届市委第四轮、第五轮常规巡察，穿插安排提级交叉巡察。进一步发挥市委巡察机构在上下联动中的作用，健全完善市县巡察会商研判机制，常态化灵活机动对县（区）巡察开展指导督导。深化巡察监督与相关职能部门协调协作，探索巡察监督与群众监督、舆论监督贯通融合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预算执行情况（10分）</w:t>
            </w: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年度预算数（万元）</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调整后预算数</w:t>
            </w: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预算执行数</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预算执行率</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总额</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130.00</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124.07</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其中：财政资金</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130.00</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124.07</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95.44%</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财政专户管理资金</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单位资金</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其他资金</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绩效指标（90分）</w:t>
            </w: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指标性质</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度量单位</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完成值</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巡察工作次数</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轮次</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巡察本级党组织</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10</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个</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市级党组织覆盖率</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完成项目时间</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巡察工作经费</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130</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124.07</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党内政治生态</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4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9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51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2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部门（单位）自评结论</w:t>
            </w:r>
          </w:p>
        </w:tc>
        <w:tc>
          <w:tcPr>
            <w:tcW w:w="849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目在决策方面，决策依据充分、资金分配合理；在项目管理方面，资金到位及时、资金支出的依据、使用范围、开支标准基本符合规定，财务制度、会计核算健全规范；在项目完成方面，实现计划目标；在项目效果方面，项目的开展，取得了良好效果。通过对该项目三级指标的分析考评，综合评价结果为优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部门（单位）自评存在问题</w:t>
            </w:r>
          </w:p>
        </w:tc>
        <w:tc>
          <w:tcPr>
            <w:tcW w:w="849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巡察工作任务重，工作量大，资金保障不足。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部门（单位）自评改进措施</w:t>
            </w:r>
          </w:p>
        </w:tc>
        <w:tc>
          <w:tcPr>
            <w:tcW w:w="849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今后项目实施时，在项目实施方案、实施计划、项目申报中，将进一步明细绩效指标，便于争取更大资金保障。</w:t>
            </w:r>
          </w:p>
        </w:tc>
      </w:tr>
    </w:tbl>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default" w:hAnsi="Calibri" w:cs="仿宋"/>
          <w:color w:val="auto"/>
          <w:kern w:val="0"/>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zh-CN" w:eastAsia="zh-CN" w:bidi="ar-SA"/>
        </w:rPr>
        <w:t>附表</w:t>
      </w:r>
      <w:r>
        <w:rPr>
          <w:rFonts w:hint="eastAsia" w:hAnsi="Calibri" w:cs="仿宋"/>
          <w:color w:val="auto"/>
          <w:kern w:val="0"/>
          <w:sz w:val="32"/>
          <w:szCs w:val="32"/>
          <w:highlight w:val="none"/>
          <w:lang w:val="en-US" w:eastAsia="zh-CN" w:bidi="ar-SA"/>
        </w:rPr>
        <w:t>10</w:t>
      </w:r>
    </w:p>
    <w:tbl>
      <w:tblPr>
        <w:tblStyle w:val="13"/>
        <w:tblW w:w="970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41"/>
        <w:gridCol w:w="1270"/>
        <w:gridCol w:w="1143"/>
        <w:gridCol w:w="1147"/>
        <w:gridCol w:w="515"/>
        <w:gridCol w:w="804"/>
        <w:gridCol w:w="515"/>
        <w:gridCol w:w="861"/>
        <w:gridCol w:w="769"/>
        <w:gridCol w:w="16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项目名称</w:t>
            </w:r>
          </w:p>
        </w:tc>
        <w:tc>
          <w:tcPr>
            <w:tcW w:w="73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“阳光问政（廉）”节目经费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主管部门（盖章）</w:t>
            </w:r>
          </w:p>
        </w:tc>
        <w:tc>
          <w:tcPr>
            <w:tcW w:w="41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实施单位 （盖章）</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中共广元市纪委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项目基本情况</w:t>
            </w:r>
          </w:p>
        </w:tc>
        <w:tc>
          <w:tcPr>
            <w:tcW w:w="12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1.项目年度目标完成情况</w:t>
            </w:r>
          </w:p>
        </w:tc>
        <w:tc>
          <w:tcPr>
            <w:tcW w:w="41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项目年度目标</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2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412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贯彻落实党中央全面从严治党方针、加强党风廉政建设、深度融合纪检监督、媒体监督、群众监督的全媒体直播节目，推动我市经济社会健康发展，营造风清气正的良好环境。</w:t>
            </w:r>
          </w:p>
        </w:tc>
        <w:tc>
          <w:tcPr>
            <w:tcW w:w="32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阳光问政（廉）”节目经费的实施，目的是问出责任与担当，从而转变干部作风，用实际行动提升群众满意度。把权力放在阳光下、把问题摆在媒体前、把“拷问”设在问答中。曝光只是手段，解决问题才是根本，对于曝光的问题将责成相关部门进行整改，提升了群众满意度、增强群众幸福感、获得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2.项目实施内容及过程概述</w:t>
            </w:r>
          </w:p>
        </w:tc>
        <w:tc>
          <w:tcPr>
            <w:tcW w:w="73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“阳光问政（廉）”节目开播4期，问题曝光个数不少于3个项目，电视直播完成率100%。截止绩效评价日，项目完成开播期数4期，项目实施进度完成率100%。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预算执行情况（10分）</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年度预算数（万元）</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年初预算</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调整后预算数</w:t>
            </w:r>
          </w:p>
        </w:tc>
        <w:tc>
          <w:tcPr>
            <w:tcW w:w="18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预算执行数</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预算执行率</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总额</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10 </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其中：财政资金</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15.00</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财政专户管理资金</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单位资金</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其他资金</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83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绩效指标（90分）</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一级指标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二级指标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三级指标</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指标性质</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指标值</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度量单位</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完成值</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权重</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制播总期数</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期</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自办期数</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期</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完成项目时间</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制作成本</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万元/每期</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3.75</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行政效能</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社会反响力</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级</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i w:val="0"/>
                <w:color w:val="000000"/>
                <w:sz w:val="18"/>
                <w:szCs w:val="18"/>
                <w:u w:val="none"/>
              </w:rPr>
            </w:pP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1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群众满意度</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东文宋体" w:hAnsi="东文宋体" w:eastAsia="东文宋体" w:cs="东文宋体"/>
                <w:i w:val="0"/>
                <w:color w:val="000000"/>
                <w:sz w:val="18"/>
                <w:szCs w:val="18"/>
                <w:u w:val="none"/>
              </w:rPr>
            </w:pPr>
            <w:r>
              <w:rPr>
                <w:rFonts w:hint="default" w:ascii="东文宋体" w:hAnsi="东文宋体" w:eastAsia="东文宋体" w:cs="东文宋体"/>
                <w:i w:val="0"/>
                <w:color w:val="000000"/>
                <w:kern w:val="0"/>
                <w:sz w:val="18"/>
                <w:szCs w:val="18"/>
                <w:u w:val="none"/>
                <w:lang w:val="en-US" w:eastAsia="zh-CN" w:bidi="ar"/>
              </w:rPr>
              <w:t>≥</w:t>
            </w:r>
          </w:p>
        </w:tc>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29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合计</w:t>
            </w:r>
          </w:p>
        </w:tc>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部门（单位）自评结论</w:t>
            </w:r>
          </w:p>
        </w:tc>
        <w:tc>
          <w:tcPr>
            <w:tcW w:w="866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该项目在决策方面，决策依据基本充分、资金分配合理；在项目管理方面，资金到位及时、资金支出的依据、使用范围、开支标准基本符合规定，财务制度、会计核算健全规范；在项目完成方面，实现计划目标；在项目效果方面，项目的开展，取得了良好效果。通过对该项目三级指标的分析考评，综合评价结果为良好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部门（单位）自评存在问题</w:t>
            </w:r>
          </w:p>
        </w:tc>
        <w:tc>
          <w:tcPr>
            <w:tcW w:w="866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“阳光问政（廉）”涉及范围广，开播前期准备的工作量大，全年整体节目制作经费不足。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
              </w:rPr>
              <w:t>部门（单位）自评改进措施</w:t>
            </w:r>
          </w:p>
        </w:tc>
        <w:tc>
          <w:tcPr>
            <w:tcW w:w="866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在下一年度项目绩效目标编制时，做好项目事前绩效评估，及时与财政沟通，足额保障项目经费。</w:t>
            </w:r>
          </w:p>
        </w:tc>
      </w:tr>
    </w:tbl>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r>
        <w:rPr>
          <w:rFonts w:hint="eastAsia" w:hAnsi="Calibri" w:cs="仿宋"/>
          <w:color w:val="auto"/>
          <w:kern w:val="0"/>
          <w:sz w:val="32"/>
          <w:szCs w:val="32"/>
          <w:highlight w:val="none"/>
          <w:lang w:val="en-US" w:eastAsia="zh-CN" w:bidi="ar-SA"/>
        </w:rPr>
        <w:t>附表11</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3"/>
        <w:gridCol w:w="1671"/>
        <w:gridCol w:w="1344"/>
        <w:gridCol w:w="2103"/>
        <w:gridCol w:w="520"/>
        <w:gridCol w:w="778"/>
        <w:gridCol w:w="520"/>
        <w:gridCol w:w="959"/>
        <w:gridCol w:w="505"/>
        <w:gridCol w:w="4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1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51080021T000000052609-大案要案查处专项工作经费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59"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19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2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全年完成上级纪委交办的指定案件办理，完成所有问题线索核查工作，完成案件前期外围核查、留置案件审查调查工作。</w:t>
            </w:r>
          </w:p>
        </w:tc>
        <w:tc>
          <w:tcPr>
            <w:tcW w:w="19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simhei" w:hAnsi="simhei" w:eastAsia="simhei" w:cs="simhei"/>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通过完成上级部门交办指定管辖案件办理、问题线索核查、前期外围核查、留置案件审查调查等工作，追缴违法违纪款项，减少国家国有资产损失，促进地方经济发展，净化地方政治生态系统。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1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一是完成上级纪委交办指定案件办理，二是年内完成所有问题线索核查工作，三是完成案件前期外围核查、留置案件审查调查工作。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1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大案要案查处数量</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案件数</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留置案件数量</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案件数</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4</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质量指标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办案质量</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时效指标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完成时间</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成本指标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办案成本</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万元</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30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追缴违纪款</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600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万元</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8000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社会效益指标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社会秩序</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法纪意识</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定性</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优良中低差</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优</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满意度指标</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服务对象满意度指标</w:t>
            </w:r>
          </w:p>
        </w:tc>
        <w:tc>
          <w:tcPr>
            <w:tcW w:w="2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群众满意度</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90</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90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7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default" w:ascii="宋体" w:hAnsi="宋体" w:eastAsia="宋体" w:cs="宋体"/>
                <w:i w:val="0"/>
                <w:color w:val="000000"/>
                <w:kern w:val="0"/>
                <w:sz w:val="16"/>
                <w:szCs w:val="16"/>
                <w:u w:val="none"/>
                <w:lang w:val="zh-CN" w:eastAsia="zh-CN" w:bidi="ar"/>
              </w:rPr>
              <w:t>该项目在决策方面，依据充分、资金分配合理；在项目管理方面，资金到位及时、资金支出的依据、使用范围、开支标准基本符合规定，财务制度、会计核算健全规范；在项目完成方面，实现</w:t>
            </w:r>
            <w:r>
              <w:rPr>
                <w:rFonts w:hint="eastAsia" w:ascii="宋体" w:hAnsi="宋体" w:eastAsia="宋体" w:cs="宋体"/>
                <w:i w:val="0"/>
                <w:color w:val="000000"/>
                <w:kern w:val="0"/>
                <w:sz w:val="16"/>
                <w:szCs w:val="16"/>
                <w:u w:val="none"/>
                <w:lang w:val="zh-CN" w:eastAsia="zh-CN" w:bidi="ar"/>
              </w:rPr>
              <w:t>了</w:t>
            </w:r>
            <w:r>
              <w:rPr>
                <w:rFonts w:hint="default" w:ascii="宋体" w:hAnsi="宋体" w:eastAsia="宋体" w:cs="宋体"/>
                <w:i w:val="0"/>
                <w:color w:val="000000"/>
                <w:kern w:val="0"/>
                <w:sz w:val="16"/>
                <w:szCs w:val="16"/>
                <w:u w:val="none"/>
                <w:lang w:val="zh-CN" w:eastAsia="zh-CN" w:bidi="ar"/>
              </w:rPr>
              <w:t>计划目标；在项目效果方面，项目取得了良好效果。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2"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kern w:val="0"/>
                <w:sz w:val="16"/>
                <w:szCs w:val="16"/>
                <w:u w:val="none"/>
                <w:lang w:val="zh-CN" w:eastAsia="zh-CN" w:bidi="ar"/>
              </w:rPr>
            </w:pPr>
            <w:r>
              <w:rPr>
                <w:rFonts w:hint="default" w:ascii="宋体" w:hAnsi="宋体" w:eastAsia="宋体" w:cs="宋体"/>
                <w:i w:val="0"/>
                <w:color w:val="000000"/>
                <w:kern w:val="0"/>
                <w:sz w:val="16"/>
                <w:szCs w:val="16"/>
                <w:u w:val="none"/>
                <w:lang w:val="en-US" w:eastAsia="zh-CN" w:bidi="ar"/>
              </w:rPr>
              <w:t>存在问题</w:t>
            </w:r>
          </w:p>
        </w:tc>
        <w:tc>
          <w:tcPr>
            <w:tcW w:w="88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000000"/>
                <w:kern w:val="0"/>
                <w:sz w:val="16"/>
                <w:szCs w:val="16"/>
                <w:u w:val="none"/>
                <w:lang w:val="zh-CN" w:eastAsia="zh-CN" w:bidi="ar"/>
              </w:rPr>
            </w:pPr>
            <w:r>
              <w:rPr>
                <w:rFonts w:hint="eastAsia" w:ascii="宋体" w:hAnsi="宋体" w:eastAsia="宋体" w:cs="宋体"/>
                <w:i w:val="0"/>
                <w:color w:val="000000"/>
                <w:kern w:val="0"/>
                <w:sz w:val="16"/>
                <w:szCs w:val="16"/>
                <w:u w:val="none"/>
                <w:lang w:val="zh-CN" w:eastAsia="zh-CN" w:bidi="ar"/>
              </w:rPr>
              <w:t>因案件查办存在不可预见性，成本测算难度较大，出现办案成本经费保障不足问题。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color w:val="000000"/>
                <w:kern w:val="0"/>
                <w:sz w:val="16"/>
                <w:szCs w:val="16"/>
                <w:u w:val="none"/>
                <w:lang w:val="zh-CN" w:eastAsia="zh-CN" w:bidi="ar"/>
              </w:rPr>
              <w:t>高度重视预算事前绩效评估，构建合理的绩效评价体系，做好大案要案查办工作全面规划，加强对绩效评价实施主体的培训，提高业务水平及预算绩效管理意识。</w:t>
            </w:r>
          </w:p>
        </w:tc>
      </w:tr>
    </w:tbl>
    <w:p>
      <w:pPr>
        <w:pStyle w:val="6"/>
        <w:rPr>
          <w:rFonts w:hint="default"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p>
    <w:p>
      <w:pPr>
        <w:pStyle w:val="6"/>
        <w:rPr>
          <w:rFonts w:hint="eastAsia" w:hAnsi="Calibri" w:cs="仿宋"/>
          <w:color w:val="auto"/>
          <w:kern w:val="0"/>
          <w:sz w:val="32"/>
          <w:szCs w:val="32"/>
          <w:highlight w:val="none"/>
          <w:lang w:val="en-US" w:eastAsia="zh-CN" w:bidi="ar-SA"/>
        </w:rPr>
      </w:pPr>
      <w:r>
        <w:rPr>
          <w:rFonts w:hint="eastAsia" w:hAnsi="Calibri" w:cs="仿宋"/>
          <w:color w:val="auto"/>
          <w:kern w:val="0"/>
          <w:sz w:val="32"/>
          <w:szCs w:val="32"/>
          <w:highlight w:val="none"/>
          <w:lang w:val="en-US" w:eastAsia="zh-CN" w:bidi="ar-SA"/>
        </w:rPr>
        <w:t>附表12</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1"/>
        <w:gridCol w:w="1647"/>
        <w:gridCol w:w="1331"/>
        <w:gridCol w:w="2089"/>
        <w:gridCol w:w="517"/>
        <w:gridCol w:w="771"/>
        <w:gridCol w:w="517"/>
        <w:gridCol w:w="954"/>
        <w:gridCol w:w="531"/>
        <w:gridCol w:w="5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51080021Y000000176770-其他公用经费（福利、工会、公车补贴、党建、退休活动）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2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54"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10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2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20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2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保障单位日常运转，提高预算编制质量，严格执行预算。</w:t>
            </w:r>
          </w:p>
        </w:tc>
        <w:tc>
          <w:tcPr>
            <w:tcW w:w="20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保障了单位日常运转，提高预算编制质量，严格执行预算。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iCs w:val="0"/>
                <w:color w:val="000000"/>
                <w:kern w:val="0"/>
                <w:sz w:val="18"/>
                <w:szCs w:val="18"/>
                <w:u w:val="none"/>
                <w:lang w:val="en-US" w:eastAsia="zh-CN" w:bidi="ar"/>
              </w:rPr>
              <w:t>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156.28</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156.28</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138.41</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88.56%</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156.28</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156.28</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138.41</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88.56%</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科目调整次数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次</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质量指标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预算编制准确率（计算方法为：∣（执行数-预算数）/预算数∣）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“三公经费”控制率[计算方法为：（三公经费实际支出数/预算安排数]×100%）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运转保障率</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0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rPr>
            </w:pPr>
            <w:r>
              <w:rPr>
                <w:rFonts w:hint="eastAsia" w:ascii="宋体" w:hAnsi="宋体" w:cs="宋体"/>
                <w:i w:val="0"/>
                <w:color w:val="000000"/>
                <w:kern w:val="0"/>
                <w:sz w:val="18"/>
                <w:szCs w:val="18"/>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通过项目实施，保障单位日常运转，按照预算执行要求及时有效的完成，提高预算执行率，保障资金合理支出，严格执行财务管理制度，财务处理及时、会计核算合规。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存在问题</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r>
              <w:rPr>
                <w:rFonts w:hint="eastAsia" w:ascii="宋体" w:hAnsi="宋体" w:cs="宋体"/>
                <w:i w:val="0"/>
                <w:iCs w:val="0"/>
                <w:color w:val="000000"/>
                <w:kern w:val="0"/>
                <w:sz w:val="16"/>
                <w:szCs w:val="16"/>
                <w:u w:val="none"/>
                <w:lang w:val="en-US" w:eastAsia="zh-CN" w:bidi="ar"/>
              </w:rPr>
              <w:t>。</w:t>
            </w:r>
          </w:p>
        </w:tc>
      </w:tr>
    </w:tbl>
    <w:p>
      <w:pPr>
        <w:pStyle w:val="2"/>
        <w:rPr>
          <w:rFonts w:hint="default"/>
          <w:lang w:val="en-US" w:eastAsia="zh-CN"/>
        </w:rPr>
      </w:pPr>
    </w:p>
    <w:p>
      <w:pPr>
        <w:pStyle w:val="6"/>
        <w:rPr>
          <w:rFonts w:hint="eastAsia" w:hAnsi="Calibri" w:cs="仿宋"/>
          <w:color w:val="auto"/>
          <w:kern w:val="0"/>
          <w:sz w:val="32"/>
          <w:szCs w:val="32"/>
          <w:highlight w:val="none"/>
          <w:lang w:val="en-US" w:eastAsia="zh-CN" w:bidi="ar-SA"/>
        </w:rPr>
      </w:pPr>
      <w:r>
        <w:rPr>
          <w:rFonts w:hint="eastAsia" w:hAnsi="Calibri" w:cs="仿宋"/>
          <w:color w:val="auto"/>
          <w:kern w:val="0"/>
          <w:sz w:val="32"/>
          <w:szCs w:val="32"/>
          <w:highlight w:val="none"/>
          <w:lang w:val="en-US" w:eastAsia="zh-CN" w:bidi="ar-SA"/>
        </w:rPr>
        <w:t>附表13</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1"/>
        <w:gridCol w:w="1652"/>
        <w:gridCol w:w="1332"/>
        <w:gridCol w:w="2077"/>
        <w:gridCol w:w="518"/>
        <w:gridCol w:w="773"/>
        <w:gridCol w:w="518"/>
        <w:gridCol w:w="957"/>
        <w:gridCol w:w="531"/>
        <w:gridCol w:w="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51080022R000000267546-工资性支出（事业）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2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57"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1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2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2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2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严格执行相关政策，保障工资及时发放、足额发放，预算编制科学合理，减少结余资金。</w:t>
            </w:r>
          </w:p>
        </w:tc>
        <w:tc>
          <w:tcPr>
            <w:tcW w:w="201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保障了工资及时发放、足额发放。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3"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iCs w:val="0"/>
                <w:color w:val="000000"/>
                <w:kern w:val="0"/>
                <w:sz w:val="18"/>
                <w:szCs w:val="18"/>
                <w:u w:val="none"/>
                <w:lang w:val="en-US" w:eastAsia="zh-CN" w:bidi="ar"/>
              </w:rPr>
              <w:t>工资及时足额发放，严格预算执行。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18.06</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18.06</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18.06</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18.06</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18.06</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18.06</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科目调整次数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次</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足额保障率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时效指标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按时发放率</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结余率（计算方法为：结余数/预算数）</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5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通过项目实施，保障单位日常运转，按照预算执行要求及时有效的完成，提高预算执行率，保障资金合理支出，严格执行财务管理制度，财务处理及时、会计核算合规。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存在问题</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微软雅黑" w:hAnsi="微软雅黑" w:eastAsia="微软雅黑" w:cs="微软雅黑"/>
                <w:i/>
                <w:color w:val="000000"/>
                <w:sz w:val="16"/>
                <w:szCs w:val="16"/>
                <w:u w:val="none"/>
                <w:lang w:eastAsia="zh-CN"/>
              </w:rPr>
            </w:pPr>
            <w:r>
              <w:rPr>
                <w:rFonts w:hint="eastAsia" w:ascii="宋体" w:hAnsi="宋体" w:eastAsia="宋体" w:cs="宋体"/>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r>
              <w:rPr>
                <w:rFonts w:hint="eastAsia" w:ascii="宋体" w:hAnsi="宋体" w:cs="宋体"/>
                <w:i w:val="0"/>
                <w:iCs w:val="0"/>
                <w:color w:val="000000"/>
                <w:kern w:val="0"/>
                <w:sz w:val="16"/>
                <w:szCs w:val="16"/>
                <w:u w:val="none"/>
                <w:lang w:val="en-US" w:eastAsia="zh-CN" w:bidi="ar"/>
              </w:rPr>
              <w:t>。</w:t>
            </w:r>
          </w:p>
        </w:tc>
      </w:tr>
    </w:tbl>
    <w:p>
      <w:pPr>
        <w:pStyle w:val="6"/>
        <w:rPr>
          <w:rFonts w:hint="default" w:hAnsi="Calibri" w:cs="仿宋"/>
          <w:color w:val="auto"/>
          <w:kern w:val="0"/>
          <w:sz w:val="32"/>
          <w:szCs w:val="32"/>
          <w:highlight w:val="none"/>
          <w:lang w:val="en-US" w:eastAsia="zh-CN" w:bidi="ar-SA"/>
        </w:rPr>
      </w:pPr>
    </w:p>
    <w:p>
      <w:pPr>
        <w:spacing w:line="600" w:lineRule="exact"/>
        <w:jc w:val="center"/>
        <w:outlineLvl w:val="0"/>
        <w:rPr>
          <w:rFonts w:hint="eastAsia" w:ascii="黑体" w:hAnsi="黑体" w:eastAsia="黑体"/>
          <w:color w:val="auto"/>
          <w:sz w:val="44"/>
          <w:szCs w:val="44"/>
          <w:highlight w:val="none"/>
        </w:rPr>
      </w:pPr>
    </w:p>
    <w:p>
      <w:pPr>
        <w:pStyle w:val="2"/>
        <w:rPr>
          <w:rFonts w:hint="eastAsia" w:ascii="黑体" w:hAnsi="黑体" w:eastAsia="黑体"/>
          <w:color w:val="auto"/>
          <w:sz w:val="44"/>
          <w:szCs w:val="44"/>
          <w:highlight w:val="none"/>
        </w:rPr>
      </w:pPr>
    </w:p>
    <w:p>
      <w:pPr>
        <w:pStyle w:val="6"/>
        <w:rPr>
          <w:rFonts w:hint="eastAsia" w:hAnsi="Calibri" w:cs="仿宋"/>
          <w:color w:val="auto"/>
          <w:kern w:val="0"/>
          <w:sz w:val="32"/>
          <w:szCs w:val="32"/>
          <w:highlight w:val="none"/>
          <w:lang w:val="en-US" w:eastAsia="zh-CN" w:bidi="ar-SA"/>
        </w:rPr>
      </w:pPr>
      <w:r>
        <w:rPr>
          <w:rFonts w:hint="eastAsia" w:hAnsi="Calibri" w:cs="仿宋"/>
          <w:color w:val="auto"/>
          <w:kern w:val="0"/>
          <w:sz w:val="32"/>
          <w:szCs w:val="32"/>
          <w:highlight w:val="none"/>
          <w:lang w:val="en-US" w:eastAsia="zh-CN" w:bidi="ar-SA"/>
        </w:rPr>
        <w:t>附表14</w:t>
      </w:r>
    </w:p>
    <w:tbl>
      <w:tblPr>
        <w:tblStyle w:val="13"/>
        <w:tblW w:w="95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1"/>
        <w:gridCol w:w="1648"/>
        <w:gridCol w:w="1329"/>
        <w:gridCol w:w="2089"/>
        <w:gridCol w:w="517"/>
        <w:gridCol w:w="772"/>
        <w:gridCol w:w="517"/>
        <w:gridCol w:w="955"/>
        <w:gridCol w:w="531"/>
        <w:gridCol w:w="5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项目名称</w:t>
            </w:r>
          </w:p>
        </w:tc>
        <w:tc>
          <w:tcPr>
            <w:tcW w:w="72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51080022Y000000267568-定额公用经费（事业）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主管部门</w:t>
            </w:r>
          </w:p>
        </w:tc>
        <w:tc>
          <w:tcPr>
            <w:tcW w:w="52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中共广元市纪律检查委员会部门</w:t>
            </w:r>
          </w:p>
        </w:tc>
        <w:tc>
          <w:tcPr>
            <w:tcW w:w="960"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实施单位 （盖章）</w:t>
            </w:r>
          </w:p>
        </w:tc>
        <w:tc>
          <w:tcPr>
            <w:tcW w:w="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中共广元市纪律检查委员会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项目基本情况</w:t>
            </w: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1.项目年度目标完成情况</w:t>
            </w:r>
          </w:p>
        </w:tc>
        <w:tc>
          <w:tcPr>
            <w:tcW w:w="52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项目年度目标</w:t>
            </w:r>
          </w:p>
        </w:tc>
        <w:tc>
          <w:tcPr>
            <w:tcW w:w="19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年度目标完成情况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8"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52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保障单位日常运转，提高预算编制质量，严格执行预算。</w:t>
            </w:r>
          </w:p>
        </w:tc>
        <w:tc>
          <w:tcPr>
            <w:tcW w:w="19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simhei" w:hAnsi="simhei" w:eastAsia="simhei" w:cs="simhei"/>
                <w:i w:val="0"/>
                <w:color w:val="000000"/>
                <w:sz w:val="18"/>
                <w:szCs w:val="18"/>
                <w:u w:val="none"/>
              </w:rPr>
            </w:pPr>
            <w:r>
              <w:rPr>
                <w:rFonts w:hint="default" w:ascii="simhei" w:hAnsi="simhei" w:eastAsia="simhei" w:cs="simhei"/>
                <w:i w:val="0"/>
                <w:color w:val="000000"/>
                <w:kern w:val="0"/>
                <w:sz w:val="18"/>
                <w:szCs w:val="18"/>
                <w:u w:val="none"/>
                <w:lang w:val="en-US" w:eastAsia="zh-CN" w:bidi="ar"/>
              </w:rPr>
              <w:t>保障单位日常运转，提高预算编制质量。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3"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2.项目实施内容及过程概述</w:t>
            </w:r>
          </w:p>
        </w:tc>
        <w:tc>
          <w:tcPr>
            <w:tcW w:w="72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r>
              <w:rPr>
                <w:rFonts w:ascii="宋体" w:hAnsi="宋体" w:eastAsia="宋体" w:cs="宋体"/>
                <w:i w:val="0"/>
                <w:iCs w:val="0"/>
                <w:color w:val="000000"/>
                <w:kern w:val="0"/>
                <w:sz w:val="18"/>
                <w:szCs w:val="18"/>
                <w:u w:val="none"/>
                <w:lang w:val="en-US" w:eastAsia="zh-CN" w:bidi="ar"/>
              </w:rPr>
              <w:t>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1" w:hRule="atLeast"/>
        </w:trPr>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预算执行情况（10分）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年度预算数（万元）</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年初预算</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调整后预算数</w:t>
            </w:r>
          </w:p>
        </w:tc>
        <w:tc>
          <w:tcPr>
            <w:tcW w:w="18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预算执行数</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总额</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15.75</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15.75</w:t>
            </w:r>
          </w:p>
        </w:tc>
        <w:tc>
          <w:tcPr>
            <w:tcW w:w="18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15.25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96.83%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其中：财政资金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15.75</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15.75</w:t>
            </w:r>
          </w:p>
        </w:tc>
        <w:tc>
          <w:tcPr>
            <w:tcW w:w="18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15.25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96.83%</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财政专户管理资金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单位资金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18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0.00%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其他资金</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微软雅黑" w:hAnsi="微软雅黑" w:eastAsia="微软雅黑" w:cs="微软雅黑"/>
                <w:i/>
                <w:color w:val="000000"/>
                <w:sz w:val="16"/>
                <w:szCs w:val="16"/>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18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微软雅黑" w:hAnsi="微软雅黑" w:eastAsia="微软雅黑" w:cs="微软雅黑"/>
                <w:i/>
                <w:color w:val="000000"/>
                <w:sz w:val="16"/>
                <w:szCs w:val="16"/>
                <w:u w:val="none"/>
              </w:rPr>
            </w:pP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6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绩效指标（90分）</w:t>
            </w:r>
          </w:p>
        </w:tc>
        <w:tc>
          <w:tcPr>
            <w:tcW w:w="16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指标性质</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度量单位</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完成值</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权重</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产出指标</w:t>
            </w: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数量指标</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科目调整次数</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次</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质量指标</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预算编制准确率（计算方法为：∣（执行数-预算数）/预算数∣）</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5</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5</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效益指标</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经济效益指标</w:t>
            </w: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运转保障率</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4" w:hRule="atLeast"/>
        </w:trPr>
        <w:tc>
          <w:tcPr>
            <w:tcW w:w="6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“三公经费”控制率[计算方法为：（三公经费实际支出数/预算安排数]×100%）</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5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微软雅黑" w:hAnsi="微软雅黑" w:eastAsia="微软雅黑" w:cs="微软雅黑"/>
                <w:i/>
                <w:color w:val="000000"/>
                <w:sz w:val="16"/>
                <w:szCs w:val="16"/>
                <w:u w:val="none"/>
              </w:rPr>
            </w:pPr>
            <w:r>
              <w:rPr>
                <w:rFonts w:hint="default" w:ascii="微软雅黑" w:hAnsi="微软雅黑" w:eastAsia="微软雅黑" w:cs="微软雅黑"/>
                <w:i/>
                <w:color w:val="000000"/>
                <w:kern w:val="0"/>
                <w:sz w:val="16"/>
                <w:szCs w:val="16"/>
                <w:u w:val="none"/>
                <w:lang w:val="en-US" w:eastAsia="zh-CN" w:bidi="ar"/>
              </w:rPr>
              <w:t>100</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6" w:hRule="atLeast"/>
        </w:trPr>
        <w:tc>
          <w:tcPr>
            <w:tcW w:w="861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合计</w:t>
            </w:r>
          </w:p>
        </w:tc>
        <w:tc>
          <w:tcPr>
            <w:tcW w:w="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评价结论</w:t>
            </w:r>
          </w:p>
        </w:tc>
        <w:tc>
          <w:tcPr>
            <w:tcW w:w="88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通过项目实施，保障单位日常运转，按照预算执行要求及时有效的完成，提高预算执行率，保障资金合理支出，严格执行财务管理制度，财务处理及时、会计核算合规。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2"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存在问题</w:t>
            </w:r>
          </w:p>
        </w:tc>
        <w:tc>
          <w:tcPr>
            <w:tcW w:w="88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6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改进措施</w:t>
            </w:r>
          </w:p>
        </w:tc>
        <w:tc>
          <w:tcPr>
            <w:tcW w:w="888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微软雅黑" w:hAnsi="微软雅黑" w:eastAsia="微软雅黑" w:cs="微软雅黑"/>
                <w:i/>
                <w:color w:val="000000"/>
                <w:sz w:val="16"/>
                <w:szCs w:val="16"/>
                <w:u w:val="none"/>
              </w:rPr>
            </w:pPr>
            <w:r>
              <w:rPr>
                <w:rFonts w:hint="eastAsia" w:ascii="宋体" w:hAnsi="宋体" w:eastAsia="宋体" w:cs="宋体"/>
                <w:i w:val="0"/>
                <w:iCs w:val="0"/>
                <w:color w:val="000000"/>
                <w:kern w:val="0"/>
                <w:sz w:val="16"/>
                <w:szCs w:val="16"/>
                <w:u w:val="none"/>
                <w:lang w:val="en-US" w:eastAsia="zh-CN" w:bidi="ar"/>
              </w:rPr>
              <w:t>进一步完善预算的编制工作，提高预算编制的精准度，提高资金使用效率</w:t>
            </w:r>
            <w:r>
              <w:rPr>
                <w:rFonts w:hint="eastAsia" w:ascii="宋体" w:hAnsi="宋体" w:cs="宋体"/>
                <w:i w:val="0"/>
                <w:iCs w:val="0"/>
                <w:color w:val="000000"/>
                <w:kern w:val="0"/>
                <w:sz w:val="16"/>
                <w:szCs w:val="16"/>
                <w:u w:val="none"/>
                <w:lang w:val="en-US" w:eastAsia="zh-CN" w:bidi="ar"/>
              </w:rPr>
              <w:t>。</w:t>
            </w:r>
          </w:p>
        </w:tc>
      </w:tr>
    </w:tbl>
    <w:p>
      <w:pPr>
        <w:pStyle w:val="2"/>
        <w:rPr>
          <w:rFonts w:hint="default"/>
          <w:lang w:val="en-US" w:eastAsia="zh-CN"/>
        </w:rPr>
      </w:pPr>
    </w:p>
    <w:p>
      <w:pPr>
        <w:spacing w:line="600" w:lineRule="exact"/>
        <w:jc w:val="both"/>
        <w:outlineLvl w:val="0"/>
        <w:rPr>
          <w:rFonts w:hint="eastAsia" w:ascii="黑体" w:hAnsi="黑体" w:eastAsia="黑体"/>
          <w:color w:val="auto"/>
          <w:sz w:val="44"/>
          <w:szCs w:val="44"/>
          <w:highlight w:val="none"/>
        </w:rPr>
      </w:pPr>
    </w:p>
    <w:p>
      <w:pPr>
        <w:spacing w:line="600" w:lineRule="exact"/>
        <w:jc w:val="center"/>
        <w:outlineLvl w:val="0"/>
        <w:rPr>
          <w:rFonts w:hint="eastAsia" w:ascii="仿宋" w:hAnsi="仿宋" w:eastAsia="仿宋"/>
          <w:b w:val="0"/>
          <w:color w:val="auto"/>
          <w:highlight w:val="none"/>
        </w:rPr>
      </w:pPr>
      <w:r>
        <w:rPr>
          <w:rFonts w:hint="eastAsia" w:ascii="黑体" w:hAnsi="黑体" w:eastAsia="黑体"/>
          <w:color w:val="auto"/>
          <w:sz w:val="44"/>
          <w:szCs w:val="44"/>
          <w:highlight w:val="none"/>
        </w:rPr>
        <w:t>第</w:t>
      </w:r>
      <w:r>
        <w:rPr>
          <w:rStyle w:val="25"/>
          <w:rFonts w:hint="eastAsia" w:ascii="黑体" w:hAnsi="黑体" w:eastAsia="黑体"/>
          <w:b w:val="0"/>
          <w:color w:val="auto"/>
          <w:highlight w:val="none"/>
        </w:rPr>
        <w:t>五部分 附表</w:t>
      </w:r>
      <w:bookmarkEnd w:id="51"/>
      <w:bookmarkEnd w:id="53"/>
      <w:bookmarkStart w:id="54" w:name="_Toc15396619"/>
    </w:p>
    <w:p>
      <w:pPr>
        <w:pStyle w:val="4"/>
        <w:rPr>
          <w:rFonts w:ascii="仿宋" w:hAnsi="仿宋" w:eastAsia="仿宋"/>
          <w:color w:val="auto"/>
          <w:highlight w:val="none"/>
        </w:rPr>
      </w:pPr>
      <w:r>
        <w:rPr>
          <w:rFonts w:hint="eastAsia" w:ascii="仿宋" w:hAnsi="仿宋" w:eastAsia="仿宋"/>
          <w:b w:val="0"/>
          <w:color w:val="auto"/>
          <w:highlight w:val="none"/>
        </w:rPr>
        <w:t>一、收</w:t>
      </w:r>
      <w:r>
        <w:rPr>
          <w:rStyle w:val="26"/>
          <w:rFonts w:hint="eastAsia" w:ascii="仿宋" w:hAnsi="仿宋" w:eastAsia="仿宋"/>
          <w:b w:val="0"/>
          <w:bCs w:val="0"/>
          <w:color w:val="auto"/>
          <w:highlight w:val="none"/>
        </w:rPr>
        <w:t>入支出决算总表</w:t>
      </w:r>
      <w:bookmarkEnd w:id="54"/>
    </w:p>
    <w:p>
      <w:pPr>
        <w:pStyle w:val="4"/>
        <w:rPr>
          <w:rFonts w:ascii="仿宋" w:hAnsi="仿宋" w:eastAsia="仿宋"/>
          <w:color w:val="auto"/>
          <w:highlight w:val="none"/>
        </w:rPr>
      </w:pPr>
      <w:bookmarkStart w:id="55" w:name="_Toc15396620"/>
      <w:r>
        <w:rPr>
          <w:rFonts w:hint="eastAsia" w:ascii="仿宋" w:hAnsi="仿宋" w:eastAsia="仿宋"/>
          <w:b w:val="0"/>
          <w:color w:val="auto"/>
          <w:highlight w:val="none"/>
        </w:rPr>
        <w:t>二、收</w:t>
      </w:r>
      <w:r>
        <w:rPr>
          <w:rStyle w:val="26"/>
          <w:rFonts w:hint="eastAsia" w:ascii="仿宋" w:hAnsi="仿宋" w:eastAsia="仿宋"/>
          <w:b w:val="0"/>
          <w:bCs w:val="0"/>
          <w:color w:val="auto"/>
          <w:highlight w:val="none"/>
        </w:rPr>
        <w:t>入决算表</w:t>
      </w:r>
      <w:bookmarkEnd w:id="55"/>
    </w:p>
    <w:p>
      <w:pPr>
        <w:pStyle w:val="4"/>
        <w:rPr>
          <w:rFonts w:ascii="仿宋" w:hAnsi="仿宋" w:eastAsia="仿宋"/>
          <w:color w:val="auto"/>
          <w:highlight w:val="none"/>
        </w:rPr>
      </w:pPr>
      <w:bookmarkStart w:id="56" w:name="_Toc15396621"/>
      <w:r>
        <w:rPr>
          <w:rStyle w:val="26"/>
          <w:rFonts w:hint="eastAsia" w:ascii="仿宋" w:hAnsi="仿宋" w:eastAsia="仿宋"/>
          <w:b w:val="0"/>
          <w:bCs w:val="0"/>
          <w:color w:val="auto"/>
          <w:highlight w:val="none"/>
        </w:rPr>
        <w:t>三、</w:t>
      </w:r>
      <w:r>
        <w:rPr>
          <w:rFonts w:hint="eastAsia" w:ascii="仿宋" w:hAnsi="仿宋" w:eastAsia="仿宋"/>
          <w:b w:val="0"/>
          <w:color w:val="auto"/>
          <w:highlight w:val="none"/>
        </w:rPr>
        <w:t>支</w:t>
      </w:r>
      <w:r>
        <w:rPr>
          <w:rStyle w:val="26"/>
          <w:rFonts w:hint="eastAsia" w:ascii="仿宋" w:hAnsi="仿宋" w:eastAsia="仿宋"/>
          <w:b w:val="0"/>
          <w:bCs w:val="0"/>
          <w:color w:val="auto"/>
          <w:highlight w:val="none"/>
        </w:rPr>
        <w:t>出决算表</w:t>
      </w:r>
      <w:bookmarkEnd w:id="56"/>
    </w:p>
    <w:p>
      <w:pPr>
        <w:pStyle w:val="4"/>
        <w:rPr>
          <w:rFonts w:ascii="仿宋" w:hAnsi="仿宋" w:eastAsia="仿宋"/>
          <w:b w:val="0"/>
          <w:color w:val="auto"/>
          <w:highlight w:val="none"/>
        </w:rPr>
      </w:pPr>
      <w:bookmarkStart w:id="57" w:name="_Toc15396622"/>
      <w:r>
        <w:rPr>
          <w:rStyle w:val="26"/>
          <w:rFonts w:hint="eastAsia" w:ascii="仿宋" w:hAnsi="仿宋" w:eastAsia="仿宋"/>
          <w:b w:val="0"/>
          <w:bCs w:val="0"/>
          <w:color w:val="auto"/>
          <w:highlight w:val="none"/>
        </w:rPr>
        <w:t>四、</w:t>
      </w:r>
      <w:r>
        <w:rPr>
          <w:rFonts w:hint="eastAsia" w:ascii="仿宋" w:hAnsi="仿宋" w:eastAsia="仿宋"/>
          <w:b w:val="0"/>
          <w:color w:val="auto"/>
          <w:highlight w:val="none"/>
        </w:rPr>
        <w:t>财</w:t>
      </w:r>
      <w:r>
        <w:rPr>
          <w:rStyle w:val="26"/>
          <w:rFonts w:hint="eastAsia" w:ascii="仿宋" w:hAnsi="仿宋" w:eastAsia="仿宋"/>
          <w:b w:val="0"/>
          <w:bCs w:val="0"/>
          <w:color w:val="auto"/>
          <w:highlight w:val="none"/>
        </w:rPr>
        <w:t>政拨款收入支出决算总表</w:t>
      </w:r>
      <w:bookmarkEnd w:id="57"/>
    </w:p>
    <w:p>
      <w:pPr>
        <w:pStyle w:val="4"/>
        <w:rPr>
          <w:rStyle w:val="26"/>
          <w:rFonts w:ascii="仿宋" w:hAnsi="仿宋" w:eastAsia="仿宋"/>
          <w:b w:val="0"/>
          <w:bCs w:val="0"/>
          <w:color w:val="auto"/>
          <w:highlight w:val="none"/>
        </w:rPr>
      </w:pPr>
      <w:bookmarkStart w:id="58" w:name="_Toc15396623"/>
      <w:r>
        <w:rPr>
          <w:rStyle w:val="26"/>
          <w:rFonts w:hint="eastAsia" w:ascii="仿宋" w:hAnsi="仿宋" w:eastAsia="仿宋"/>
          <w:b w:val="0"/>
          <w:bCs w:val="0"/>
          <w:color w:val="auto"/>
          <w:highlight w:val="none"/>
        </w:rPr>
        <w:t>五、</w:t>
      </w:r>
      <w:r>
        <w:rPr>
          <w:rFonts w:hint="eastAsia" w:ascii="仿宋" w:hAnsi="仿宋" w:eastAsia="仿宋"/>
          <w:b w:val="0"/>
          <w:color w:val="auto"/>
          <w:highlight w:val="none"/>
        </w:rPr>
        <w:t>财</w:t>
      </w:r>
      <w:r>
        <w:rPr>
          <w:rStyle w:val="26"/>
          <w:rFonts w:hint="eastAsia" w:ascii="仿宋" w:hAnsi="仿宋" w:eastAsia="仿宋"/>
          <w:b w:val="0"/>
          <w:bCs w:val="0"/>
          <w:color w:val="auto"/>
          <w:highlight w:val="none"/>
        </w:rPr>
        <w:t>政拨款支出决算明细表</w:t>
      </w:r>
      <w:bookmarkEnd w:id="58"/>
      <w:bookmarkStart w:id="59" w:name="_Toc15396624"/>
    </w:p>
    <w:p>
      <w:pPr>
        <w:pStyle w:val="4"/>
        <w:rPr>
          <w:rFonts w:ascii="仿宋" w:hAnsi="仿宋" w:eastAsia="仿宋"/>
          <w:color w:val="auto"/>
          <w:highlight w:val="none"/>
        </w:rPr>
      </w:pPr>
      <w:r>
        <w:rPr>
          <w:rStyle w:val="26"/>
          <w:rFonts w:hint="eastAsia" w:ascii="仿宋" w:hAnsi="仿宋" w:eastAsia="仿宋"/>
          <w:b w:val="0"/>
          <w:bCs w:val="0"/>
          <w:color w:val="auto"/>
          <w:highlight w:val="none"/>
        </w:rPr>
        <w:t>六、</w:t>
      </w:r>
      <w:r>
        <w:rPr>
          <w:rFonts w:hint="eastAsia" w:ascii="仿宋" w:hAnsi="仿宋" w:eastAsia="仿宋"/>
          <w:b w:val="0"/>
          <w:color w:val="auto"/>
          <w:highlight w:val="none"/>
        </w:rPr>
        <w:t>一</w:t>
      </w:r>
      <w:r>
        <w:rPr>
          <w:rStyle w:val="26"/>
          <w:rFonts w:hint="eastAsia" w:ascii="仿宋" w:hAnsi="仿宋" w:eastAsia="仿宋"/>
          <w:b w:val="0"/>
          <w:bCs w:val="0"/>
          <w:color w:val="auto"/>
          <w:highlight w:val="none"/>
        </w:rPr>
        <w:t>般公共预算财政拨款支出决算表</w:t>
      </w:r>
      <w:bookmarkEnd w:id="59"/>
    </w:p>
    <w:p>
      <w:pPr>
        <w:pStyle w:val="4"/>
        <w:rPr>
          <w:rFonts w:ascii="仿宋" w:hAnsi="仿宋" w:eastAsia="仿宋"/>
          <w:color w:val="auto"/>
          <w:highlight w:val="none"/>
        </w:rPr>
      </w:pPr>
      <w:bookmarkStart w:id="60" w:name="_Toc15396625"/>
      <w:r>
        <w:rPr>
          <w:rStyle w:val="26"/>
          <w:rFonts w:hint="eastAsia" w:ascii="仿宋" w:hAnsi="仿宋" w:eastAsia="仿宋"/>
          <w:b w:val="0"/>
          <w:bCs w:val="0"/>
          <w:color w:val="auto"/>
          <w:highlight w:val="none"/>
        </w:rPr>
        <w:t>七、</w:t>
      </w:r>
      <w:r>
        <w:rPr>
          <w:rFonts w:hint="eastAsia" w:ascii="仿宋" w:hAnsi="仿宋" w:eastAsia="仿宋"/>
          <w:b w:val="0"/>
          <w:color w:val="auto"/>
          <w:highlight w:val="none"/>
        </w:rPr>
        <w:t>一</w:t>
      </w:r>
      <w:r>
        <w:rPr>
          <w:rStyle w:val="26"/>
          <w:rFonts w:hint="eastAsia" w:ascii="仿宋" w:hAnsi="仿宋" w:eastAsia="仿宋"/>
          <w:b w:val="0"/>
          <w:bCs w:val="0"/>
          <w:color w:val="auto"/>
          <w:highlight w:val="none"/>
        </w:rPr>
        <w:t>般公共预算财政拨款支出决算明细表</w:t>
      </w:r>
      <w:bookmarkEnd w:id="60"/>
    </w:p>
    <w:p>
      <w:pPr>
        <w:pStyle w:val="4"/>
        <w:rPr>
          <w:rFonts w:ascii="仿宋" w:hAnsi="仿宋" w:eastAsia="仿宋"/>
          <w:color w:val="auto"/>
          <w:highlight w:val="none"/>
        </w:rPr>
      </w:pPr>
      <w:bookmarkStart w:id="61" w:name="_Toc15396626"/>
      <w:r>
        <w:rPr>
          <w:rStyle w:val="26"/>
          <w:rFonts w:hint="eastAsia" w:ascii="仿宋" w:hAnsi="仿宋" w:eastAsia="仿宋"/>
          <w:b w:val="0"/>
          <w:bCs w:val="0"/>
          <w:color w:val="auto"/>
          <w:highlight w:val="none"/>
        </w:rPr>
        <w:t>八、</w:t>
      </w:r>
      <w:r>
        <w:rPr>
          <w:rFonts w:hint="eastAsia" w:ascii="仿宋" w:hAnsi="仿宋" w:eastAsia="仿宋"/>
          <w:b w:val="0"/>
          <w:color w:val="auto"/>
          <w:highlight w:val="none"/>
        </w:rPr>
        <w:t>一</w:t>
      </w:r>
      <w:r>
        <w:rPr>
          <w:rStyle w:val="26"/>
          <w:rFonts w:hint="eastAsia" w:ascii="仿宋" w:hAnsi="仿宋" w:eastAsia="仿宋"/>
          <w:b w:val="0"/>
          <w:bCs w:val="0"/>
          <w:color w:val="auto"/>
          <w:highlight w:val="none"/>
        </w:rPr>
        <w:t>般公共预算财政拨款基本支出决算表</w:t>
      </w:r>
      <w:bookmarkEnd w:id="61"/>
    </w:p>
    <w:p>
      <w:pPr>
        <w:pStyle w:val="4"/>
        <w:rPr>
          <w:rFonts w:ascii="仿宋" w:hAnsi="仿宋" w:eastAsia="仿宋"/>
          <w:color w:val="auto"/>
          <w:highlight w:val="none"/>
        </w:rPr>
      </w:pPr>
      <w:bookmarkStart w:id="62" w:name="_Toc15396627"/>
      <w:r>
        <w:rPr>
          <w:rStyle w:val="26"/>
          <w:rFonts w:hint="eastAsia" w:ascii="仿宋" w:hAnsi="仿宋" w:eastAsia="仿宋"/>
          <w:b w:val="0"/>
          <w:bCs w:val="0"/>
          <w:color w:val="auto"/>
          <w:highlight w:val="none"/>
        </w:rPr>
        <w:t>九、</w:t>
      </w:r>
      <w:r>
        <w:rPr>
          <w:rFonts w:hint="eastAsia" w:ascii="仿宋" w:hAnsi="仿宋" w:eastAsia="仿宋"/>
          <w:b w:val="0"/>
          <w:color w:val="auto"/>
          <w:highlight w:val="none"/>
        </w:rPr>
        <w:t>一</w:t>
      </w:r>
      <w:r>
        <w:rPr>
          <w:rStyle w:val="26"/>
          <w:rFonts w:hint="eastAsia" w:ascii="仿宋" w:hAnsi="仿宋" w:eastAsia="仿宋"/>
          <w:b w:val="0"/>
          <w:bCs w:val="0"/>
          <w:color w:val="auto"/>
          <w:highlight w:val="none"/>
        </w:rPr>
        <w:t>般公共预算财政拨款项目支出决算表</w:t>
      </w:r>
      <w:bookmarkEnd w:id="62"/>
    </w:p>
    <w:p>
      <w:pPr>
        <w:pStyle w:val="4"/>
        <w:rPr>
          <w:rFonts w:ascii="仿宋" w:hAnsi="仿宋" w:eastAsia="仿宋"/>
          <w:color w:val="auto"/>
          <w:highlight w:val="none"/>
        </w:rPr>
      </w:pPr>
      <w:bookmarkStart w:id="63" w:name="_Toc15396628"/>
      <w:r>
        <w:rPr>
          <w:rStyle w:val="26"/>
          <w:rFonts w:hint="eastAsia" w:ascii="仿宋" w:hAnsi="仿宋" w:eastAsia="仿宋"/>
          <w:b w:val="0"/>
          <w:bCs w:val="0"/>
          <w:color w:val="auto"/>
          <w:highlight w:val="none"/>
        </w:rPr>
        <w:t>十、</w:t>
      </w:r>
      <w:bookmarkEnd w:id="63"/>
      <w:r>
        <w:rPr>
          <w:rFonts w:hint="eastAsia" w:ascii="仿宋" w:hAnsi="仿宋" w:eastAsia="仿宋"/>
          <w:b w:val="0"/>
          <w:color w:val="auto"/>
          <w:highlight w:val="none"/>
        </w:rPr>
        <w:t>政</w:t>
      </w:r>
      <w:r>
        <w:rPr>
          <w:rStyle w:val="26"/>
          <w:rFonts w:hint="eastAsia" w:ascii="仿宋" w:hAnsi="仿宋" w:eastAsia="仿宋"/>
          <w:b w:val="0"/>
          <w:bCs w:val="0"/>
          <w:color w:val="auto"/>
          <w:highlight w:val="none"/>
        </w:rPr>
        <w:t>府性基金预算财政拨款收入支出决算表</w:t>
      </w:r>
    </w:p>
    <w:p>
      <w:pPr>
        <w:pStyle w:val="4"/>
        <w:rPr>
          <w:rFonts w:ascii="仿宋" w:hAnsi="仿宋" w:eastAsia="仿宋"/>
          <w:color w:val="auto"/>
          <w:highlight w:val="none"/>
        </w:rPr>
      </w:pPr>
      <w:bookmarkStart w:id="64" w:name="_Toc15396629"/>
      <w:r>
        <w:rPr>
          <w:rStyle w:val="26"/>
          <w:rFonts w:hint="eastAsia" w:ascii="仿宋" w:hAnsi="仿宋" w:eastAsia="仿宋"/>
          <w:b w:val="0"/>
          <w:bCs w:val="0"/>
          <w:color w:val="auto"/>
          <w:highlight w:val="none"/>
        </w:rPr>
        <w:t>十一、</w:t>
      </w:r>
      <w:bookmarkEnd w:id="64"/>
      <w:r>
        <w:rPr>
          <w:rFonts w:hint="eastAsia" w:ascii="仿宋" w:hAnsi="仿宋" w:eastAsia="仿宋"/>
          <w:b w:val="0"/>
          <w:color w:val="auto"/>
          <w:highlight w:val="none"/>
        </w:rPr>
        <w:t>国</w:t>
      </w:r>
      <w:r>
        <w:rPr>
          <w:rStyle w:val="26"/>
          <w:rFonts w:hint="eastAsia" w:ascii="仿宋" w:hAnsi="仿宋" w:eastAsia="仿宋"/>
          <w:b w:val="0"/>
          <w:bCs w:val="0"/>
          <w:color w:val="auto"/>
          <w:highlight w:val="none"/>
        </w:rPr>
        <w:t>有资本经营预算</w:t>
      </w:r>
      <w:r>
        <w:rPr>
          <w:rStyle w:val="26"/>
          <w:rFonts w:hint="eastAsia" w:ascii="仿宋" w:hAnsi="仿宋" w:eastAsia="仿宋"/>
          <w:b w:val="0"/>
          <w:bCs w:val="0"/>
          <w:color w:val="auto"/>
          <w:highlight w:val="none"/>
          <w:lang w:eastAsia="zh-CN"/>
        </w:rPr>
        <w:t>财政拨款收入</w:t>
      </w:r>
      <w:r>
        <w:rPr>
          <w:rStyle w:val="26"/>
          <w:rFonts w:hint="eastAsia" w:ascii="仿宋" w:hAnsi="仿宋" w:eastAsia="仿宋"/>
          <w:b w:val="0"/>
          <w:bCs w:val="0"/>
          <w:color w:val="auto"/>
          <w:highlight w:val="none"/>
        </w:rPr>
        <w:t>支出决算表</w:t>
      </w:r>
    </w:p>
    <w:p>
      <w:pPr>
        <w:pStyle w:val="4"/>
        <w:rPr>
          <w:rFonts w:ascii="仿宋" w:hAnsi="仿宋" w:eastAsia="仿宋"/>
          <w:color w:val="auto"/>
          <w:highlight w:val="none"/>
        </w:rPr>
      </w:pPr>
      <w:bookmarkStart w:id="65" w:name="_Toc15396630"/>
      <w:r>
        <w:rPr>
          <w:rStyle w:val="26"/>
          <w:rFonts w:hint="eastAsia" w:ascii="仿宋" w:hAnsi="仿宋" w:eastAsia="仿宋"/>
          <w:b w:val="0"/>
          <w:bCs w:val="0"/>
          <w:color w:val="auto"/>
          <w:highlight w:val="none"/>
        </w:rPr>
        <w:t>十二、</w:t>
      </w:r>
      <w:bookmarkEnd w:id="65"/>
      <w:r>
        <w:rPr>
          <w:rStyle w:val="26"/>
          <w:rFonts w:hint="eastAsia" w:ascii="仿宋" w:hAnsi="仿宋" w:eastAsia="仿宋"/>
          <w:b w:val="0"/>
          <w:bCs w:val="0"/>
          <w:color w:val="auto"/>
          <w:highlight w:val="none"/>
          <w:lang w:eastAsia="zh-CN"/>
        </w:rPr>
        <w:t>国有资本经营预算财政拨款支出决算表</w:t>
      </w:r>
    </w:p>
    <w:p>
      <w:pPr>
        <w:pStyle w:val="4"/>
        <w:rPr>
          <w:rFonts w:hint="eastAsia" w:eastAsia="仿宋"/>
          <w:color w:val="auto"/>
          <w:highlight w:val="none"/>
          <w:lang w:eastAsia="zh-CN"/>
        </w:rPr>
      </w:pPr>
      <w:bookmarkStart w:id="66" w:name="_Toc15396631"/>
      <w:r>
        <w:rPr>
          <w:rStyle w:val="26"/>
          <w:rFonts w:hint="eastAsia" w:ascii="仿宋" w:hAnsi="仿宋" w:eastAsia="仿宋"/>
          <w:b w:val="0"/>
          <w:bCs w:val="0"/>
          <w:color w:val="auto"/>
          <w:highlight w:val="none"/>
        </w:rPr>
        <w:t>十三、</w:t>
      </w:r>
      <w:bookmarkEnd w:id="66"/>
      <w:r>
        <w:rPr>
          <w:rStyle w:val="26"/>
          <w:rFonts w:hint="eastAsia" w:ascii="仿宋" w:hAnsi="仿宋" w:eastAsia="仿宋"/>
          <w:b w:val="0"/>
          <w:bCs w:val="0"/>
          <w:color w:val="auto"/>
          <w:highlight w:val="none"/>
          <w:lang w:eastAsia="zh-CN"/>
        </w:rPr>
        <w:t>财政拨款“三公”经费支出决算表</w:t>
      </w:r>
    </w:p>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方正书宋_GBK"/>
    <w:panose1 w:val="02010600030101010101"/>
    <w:charset w:val="00"/>
    <w:family w:val="auto"/>
    <w:pitch w:val="default"/>
    <w:sig w:usb0="00000000" w:usb1="00000000" w:usb2="0000001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simhei">
    <w:altName w:val="仿宋_GB2312"/>
    <w:panose1 w:val="00000000000000000000"/>
    <w:charset w:val="00"/>
    <w:family w:val="auto"/>
    <w:pitch w:val="default"/>
    <w:sig w:usb0="00000000" w:usb1="00000000" w:usb2="00000000" w:usb3="00000000" w:csb0="00000000" w:csb1="00000000"/>
  </w:font>
  <w:font w:name="微软雅黑">
    <w:altName w:val="黑体"/>
    <w:panose1 w:val="00000000000000000000"/>
    <w:charset w:val="00"/>
    <w:family w:val="auto"/>
    <w:pitch w:val="default"/>
    <w:sig w:usb0="00000000" w:usb1="00000000" w:usb2="00000000" w:usb3="00000000" w:csb0="00000000"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9"/>
          <w:jc w:val="center"/>
        </w:pPr>
        <w:r>
          <w:fldChar w:fldCharType="begin"/>
        </w:r>
        <w:r>
          <w:instrText xml:space="preserve">PAGE   \* MERGEFORMAT</w:instrText>
        </w:r>
        <w:r>
          <w:fldChar w:fldCharType="separate"/>
        </w:r>
        <w:r>
          <w:rPr>
            <w:lang w:val="zh-CN"/>
          </w:rPr>
          <w:t>8</w:t>
        </w:r>
        <w:r>
          <w:fldChar w:fldCharType="end"/>
        </w:r>
      </w:p>
    </w:sdtContent>
  </w:sdt>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18A09A"/>
    <w:multiLevelType w:val="singleLevel"/>
    <w:tmpl w:val="3818A09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53A62B5"/>
    <w:rsid w:val="0A2032A3"/>
    <w:rsid w:val="0B8A37D8"/>
    <w:rsid w:val="0EFF4D2B"/>
    <w:rsid w:val="10C055FF"/>
    <w:rsid w:val="118107EC"/>
    <w:rsid w:val="11DD6519"/>
    <w:rsid w:val="16BB723D"/>
    <w:rsid w:val="17F9171A"/>
    <w:rsid w:val="17FE5A33"/>
    <w:rsid w:val="18015F3F"/>
    <w:rsid w:val="1BE8440E"/>
    <w:rsid w:val="1D155CEE"/>
    <w:rsid w:val="1DEF7FA8"/>
    <w:rsid w:val="1F8F9C2B"/>
    <w:rsid w:val="20F57F95"/>
    <w:rsid w:val="240371BF"/>
    <w:rsid w:val="25711CC6"/>
    <w:rsid w:val="25C741E6"/>
    <w:rsid w:val="27842671"/>
    <w:rsid w:val="29FD04D3"/>
    <w:rsid w:val="2ABE7A3E"/>
    <w:rsid w:val="2CA234A8"/>
    <w:rsid w:val="2DD5FC32"/>
    <w:rsid w:val="2E5CF1EE"/>
    <w:rsid w:val="2EFA178C"/>
    <w:rsid w:val="2FFF4B60"/>
    <w:rsid w:val="30B46D73"/>
    <w:rsid w:val="319F7F4E"/>
    <w:rsid w:val="36AFE542"/>
    <w:rsid w:val="383D272C"/>
    <w:rsid w:val="39AE70AB"/>
    <w:rsid w:val="3C0C0783"/>
    <w:rsid w:val="3C933739"/>
    <w:rsid w:val="3D71909F"/>
    <w:rsid w:val="3DBB4F5E"/>
    <w:rsid w:val="3DDF6716"/>
    <w:rsid w:val="3DEC5EB5"/>
    <w:rsid w:val="3F9F3A96"/>
    <w:rsid w:val="3FDD0D5B"/>
    <w:rsid w:val="3FECD25F"/>
    <w:rsid w:val="41085755"/>
    <w:rsid w:val="43E7BA06"/>
    <w:rsid w:val="48BF60AB"/>
    <w:rsid w:val="493C27E9"/>
    <w:rsid w:val="496F39ED"/>
    <w:rsid w:val="49FF41D3"/>
    <w:rsid w:val="4BE068DB"/>
    <w:rsid w:val="4BF6002B"/>
    <w:rsid w:val="4ECE2238"/>
    <w:rsid w:val="4FFF43EA"/>
    <w:rsid w:val="51DB4B86"/>
    <w:rsid w:val="55333C3E"/>
    <w:rsid w:val="56DCBE7C"/>
    <w:rsid w:val="575B479A"/>
    <w:rsid w:val="57F96534"/>
    <w:rsid w:val="595BCFF0"/>
    <w:rsid w:val="59B8F31A"/>
    <w:rsid w:val="5B6FEA60"/>
    <w:rsid w:val="5EA8B9CA"/>
    <w:rsid w:val="5FF9B2C8"/>
    <w:rsid w:val="64CA39A1"/>
    <w:rsid w:val="676BCBEA"/>
    <w:rsid w:val="69630ADE"/>
    <w:rsid w:val="69DF1920"/>
    <w:rsid w:val="69FF2E86"/>
    <w:rsid w:val="6B9F051E"/>
    <w:rsid w:val="6BFF2BBE"/>
    <w:rsid w:val="6C4A05C8"/>
    <w:rsid w:val="6C593829"/>
    <w:rsid w:val="6C837F38"/>
    <w:rsid w:val="6D3B1A89"/>
    <w:rsid w:val="6ECFA6AD"/>
    <w:rsid w:val="6F476AE0"/>
    <w:rsid w:val="6FA2FC53"/>
    <w:rsid w:val="6FD9EA30"/>
    <w:rsid w:val="71BF4EC2"/>
    <w:rsid w:val="7216A83B"/>
    <w:rsid w:val="72734D90"/>
    <w:rsid w:val="73FEA402"/>
    <w:rsid w:val="7412278C"/>
    <w:rsid w:val="75AFAC2D"/>
    <w:rsid w:val="76EDF196"/>
    <w:rsid w:val="7772B569"/>
    <w:rsid w:val="77760566"/>
    <w:rsid w:val="7904082E"/>
    <w:rsid w:val="79E7B28D"/>
    <w:rsid w:val="7B1EA823"/>
    <w:rsid w:val="7BEF60E2"/>
    <w:rsid w:val="7BFF2582"/>
    <w:rsid w:val="7CBFFB0C"/>
    <w:rsid w:val="7D7D7E09"/>
    <w:rsid w:val="7DD9CF5E"/>
    <w:rsid w:val="7DFF11D7"/>
    <w:rsid w:val="7DFF4A98"/>
    <w:rsid w:val="7E3FCCD3"/>
    <w:rsid w:val="7ED44F0B"/>
    <w:rsid w:val="7EDF7769"/>
    <w:rsid w:val="7F3AE62F"/>
    <w:rsid w:val="7F5E3951"/>
    <w:rsid w:val="7F6FC104"/>
    <w:rsid w:val="7F7129D3"/>
    <w:rsid w:val="7F7739CB"/>
    <w:rsid w:val="7F7EEC50"/>
    <w:rsid w:val="7F9F20EE"/>
    <w:rsid w:val="7FACC779"/>
    <w:rsid w:val="7FE7C372"/>
    <w:rsid w:val="7FFF9AEA"/>
    <w:rsid w:val="8FEE0C1C"/>
    <w:rsid w:val="9ABE25F3"/>
    <w:rsid w:val="9DB66CAB"/>
    <w:rsid w:val="9E3A10E2"/>
    <w:rsid w:val="9FBFF60A"/>
    <w:rsid w:val="9FDD4F25"/>
    <w:rsid w:val="A7FE8466"/>
    <w:rsid w:val="ABE9F77D"/>
    <w:rsid w:val="AEF4D038"/>
    <w:rsid w:val="AEFFCB16"/>
    <w:rsid w:val="AF8B90E1"/>
    <w:rsid w:val="B29FE06F"/>
    <w:rsid w:val="B59D8A5D"/>
    <w:rsid w:val="B7BEAF61"/>
    <w:rsid w:val="BCFFFD23"/>
    <w:rsid w:val="BD551844"/>
    <w:rsid w:val="BDFF060D"/>
    <w:rsid w:val="BF77FF36"/>
    <w:rsid w:val="BF951BAD"/>
    <w:rsid w:val="BFB4C372"/>
    <w:rsid w:val="BFDF3838"/>
    <w:rsid w:val="BFFE5F8E"/>
    <w:rsid w:val="BFFF64BF"/>
    <w:rsid w:val="CE7B1DD4"/>
    <w:rsid w:val="CF4F572E"/>
    <w:rsid w:val="D7F7029D"/>
    <w:rsid w:val="DBEE9AF2"/>
    <w:rsid w:val="DCFD9D02"/>
    <w:rsid w:val="DDAF609A"/>
    <w:rsid w:val="DDBCC108"/>
    <w:rsid w:val="DDCEFB00"/>
    <w:rsid w:val="DE7BCF7C"/>
    <w:rsid w:val="DFFE39FA"/>
    <w:rsid w:val="E0E730FE"/>
    <w:rsid w:val="E2F77227"/>
    <w:rsid w:val="E43F89DD"/>
    <w:rsid w:val="E77E6675"/>
    <w:rsid w:val="E9271204"/>
    <w:rsid w:val="EB3F929C"/>
    <w:rsid w:val="EBB6CE1B"/>
    <w:rsid w:val="EBFF4CE8"/>
    <w:rsid w:val="ECFF0CC2"/>
    <w:rsid w:val="EDFCC9F3"/>
    <w:rsid w:val="EF6C8E7F"/>
    <w:rsid w:val="EFB722C3"/>
    <w:rsid w:val="EFBB9B4A"/>
    <w:rsid w:val="EFD5B2C7"/>
    <w:rsid w:val="F2E1F9D4"/>
    <w:rsid w:val="F36DBCC3"/>
    <w:rsid w:val="F3F6EC8F"/>
    <w:rsid w:val="F5FE174D"/>
    <w:rsid w:val="F5FFF24D"/>
    <w:rsid w:val="F6FF160A"/>
    <w:rsid w:val="F77D3C38"/>
    <w:rsid w:val="F7880819"/>
    <w:rsid w:val="F7A22946"/>
    <w:rsid w:val="F7B77CFC"/>
    <w:rsid w:val="F7B9B202"/>
    <w:rsid w:val="F7BD1378"/>
    <w:rsid w:val="F7C9A8F9"/>
    <w:rsid w:val="F7F74881"/>
    <w:rsid w:val="F7FD3E46"/>
    <w:rsid w:val="F937A5DF"/>
    <w:rsid w:val="FCDE3787"/>
    <w:rsid w:val="FCFBA00A"/>
    <w:rsid w:val="FD8FC4C5"/>
    <w:rsid w:val="FDB5C78B"/>
    <w:rsid w:val="FDBF0063"/>
    <w:rsid w:val="FDD3065A"/>
    <w:rsid w:val="FE371952"/>
    <w:rsid w:val="FE7DBACF"/>
    <w:rsid w:val="FE7E97E1"/>
    <w:rsid w:val="FEB5986A"/>
    <w:rsid w:val="FEFDE0CC"/>
    <w:rsid w:val="FEFF8281"/>
    <w:rsid w:val="FEFFDD52"/>
    <w:rsid w:val="FF15CF9B"/>
    <w:rsid w:val="FF5F0500"/>
    <w:rsid w:val="FFBF69C8"/>
    <w:rsid w:val="FFBFA16D"/>
    <w:rsid w:val="FFEFBBE8"/>
    <w:rsid w:val="FFF3F317"/>
    <w:rsid w:val="FFFFA455"/>
    <w:rsid w:val="FFFFDD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qFormat="1" w:unhideWhenUsed="0"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able of figures"/>
    <w:basedOn w:val="1"/>
    <w:next w:val="1"/>
    <w:semiHidden/>
    <w:qFormat/>
    <w:uiPriority w:val="99"/>
    <w:pPr>
      <w:ind w:left="200" w:leftChars="200" w:hanging="200" w:hangingChars="200"/>
    </w:pPr>
  </w:style>
  <w:style w:type="paragraph" w:styleId="6">
    <w:name w:val="Body Text"/>
    <w:basedOn w:val="1"/>
    <w:link w:val="22"/>
    <w:qFormat/>
    <w:uiPriority w:val="99"/>
    <w:pPr>
      <w:spacing w:beforeLines="30"/>
    </w:pPr>
    <w:rPr>
      <w:rFonts w:ascii="仿宋_GB2312" w:eastAsia="仿宋_GB2312"/>
      <w:kern w:val="0"/>
      <w:sz w:val="30"/>
    </w:rPr>
  </w:style>
  <w:style w:type="paragraph" w:styleId="7">
    <w:name w:val="toc 3"/>
    <w:basedOn w:val="1"/>
    <w:next w:val="1"/>
    <w:unhideWhenUsed/>
    <w:qFormat/>
    <w:uiPriority w:val="39"/>
    <w:pPr>
      <w:tabs>
        <w:tab w:val="right" w:leader="dot" w:pos="8296"/>
      </w:tabs>
      <w:ind w:left="840" w:leftChars="400"/>
    </w:pPr>
  </w:style>
  <w:style w:type="paragraph" w:styleId="8">
    <w:name w:val="Balloon Text"/>
    <w:basedOn w:val="1"/>
    <w:link w:val="28"/>
    <w:semiHidden/>
    <w:unhideWhenUsed/>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rFonts w:ascii="Calibri" w:hAnsi="Calibri"/>
      <w:kern w:val="0"/>
      <w:sz w:val="18"/>
      <w:szCs w:val="18"/>
    </w:rPr>
  </w:style>
  <w:style w:type="paragraph" w:styleId="10">
    <w:name w:val="header"/>
    <w:basedOn w:val="1"/>
    <w:link w:val="18"/>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1">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2">
    <w:name w:val="toc 2"/>
    <w:basedOn w:val="1"/>
    <w:next w:val="1"/>
    <w:unhideWhenUsed/>
    <w:qFormat/>
    <w:uiPriority w:val="39"/>
    <w:pPr>
      <w:tabs>
        <w:tab w:val="right" w:leader="dot" w:pos="8296"/>
      </w:tabs>
      <w:ind w:left="420" w:leftChars="200"/>
    </w:pPr>
  </w:style>
  <w:style w:type="character" w:styleId="15">
    <w:name w:val="Strong"/>
    <w:basedOn w:val="14"/>
    <w:qFormat/>
    <w:uiPriority w:val="99"/>
    <w:rPr>
      <w:b/>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Header Char"/>
    <w:basedOn w:val="14"/>
    <w:semiHidden/>
    <w:qFormat/>
    <w:uiPriority w:val="99"/>
    <w:rPr>
      <w:rFonts w:ascii="Times New Roman" w:hAnsi="Times New Roman"/>
      <w:sz w:val="18"/>
      <w:szCs w:val="18"/>
    </w:rPr>
  </w:style>
  <w:style w:type="character" w:customStyle="1" w:styleId="18">
    <w:name w:val="页眉 Char"/>
    <w:link w:val="10"/>
    <w:semiHidden/>
    <w:qFormat/>
    <w:locked/>
    <w:uiPriority w:val="99"/>
    <w:rPr>
      <w:sz w:val="18"/>
    </w:rPr>
  </w:style>
  <w:style w:type="character" w:customStyle="1" w:styleId="19">
    <w:name w:val="Footer Char"/>
    <w:basedOn w:val="14"/>
    <w:semiHidden/>
    <w:qFormat/>
    <w:uiPriority w:val="99"/>
    <w:rPr>
      <w:rFonts w:ascii="Times New Roman" w:hAnsi="Times New Roman"/>
      <w:sz w:val="18"/>
      <w:szCs w:val="18"/>
    </w:rPr>
  </w:style>
  <w:style w:type="character" w:customStyle="1" w:styleId="20">
    <w:name w:val="页脚 Char"/>
    <w:link w:val="9"/>
    <w:qFormat/>
    <w:locked/>
    <w:uiPriority w:val="99"/>
    <w:rPr>
      <w:sz w:val="18"/>
    </w:rPr>
  </w:style>
  <w:style w:type="character" w:customStyle="1" w:styleId="21">
    <w:name w:val="Body Text Char"/>
    <w:basedOn w:val="14"/>
    <w:semiHidden/>
    <w:qFormat/>
    <w:uiPriority w:val="99"/>
    <w:rPr>
      <w:rFonts w:ascii="Times New Roman" w:hAnsi="Times New Roman"/>
      <w:szCs w:val="24"/>
    </w:rPr>
  </w:style>
  <w:style w:type="character" w:customStyle="1" w:styleId="22">
    <w:name w:val="正文文本 Char"/>
    <w:link w:val="6"/>
    <w:qFormat/>
    <w:locked/>
    <w:uiPriority w:val="99"/>
    <w:rPr>
      <w:rFonts w:ascii="仿宋_GB2312" w:hAnsi="Times New Roman" w:eastAsia="仿宋_GB2312"/>
      <w:sz w:val="24"/>
    </w:rPr>
  </w:style>
  <w:style w:type="paragraph" w:customStyle="1" w:styleId="23">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4">
    <w:name w:val="List Paragraph"/>
    <w:basedOn w:val="1"/>
    <w:qFormat/>
    <w:uiPriority w:val="34"/>
    <w:pPr>
      <w:ind w:firstLine="420" w:firstLineChars="200"/>
    </w:pPr>
  </w:style>
  <w:style w:type="character" w:customStyle="1" w:styleId="25">
    <w:name w:val="标题 1 Char"/>
    <w:basedOn w:val="14"/>
    <w:link w:val="3"/>
    <w:qFormat/>
    <w:uiPriority w:val="9"/>
    <w:rPr>
      <w:rFonts w:ascii="Times New Roman" w:hAnsi="Times New Roman"/>
      <w:b/>
      <w:bCs/>
      <w:kern w:val="44"/>
      <w:sz w:val="44"/>
      <w:szCs w:val="44"/>
    </w:rPr>
  </w:style>
  <w:style w:type="character" w:customStyle="1" w:styleId="26">
    <w:name w:val="标题 2 Char"/>
    <w:basedOn w:val="14"/>
    <w:link w:val="4"/>
    <w:qFormat/>
    <w:uiPriority w:val="9"/>
    <w:rPr>
      <w:rFonts w:asciiTheme="majorHAnsi" w:hAnsiTheme="majorHAnsi" w:eastAsiaTheme="majorEastAsia" w:cstheme="majorBidi"/>
      <w:b/>
      <w:bCs/>
      <w:kern w:val="2"/>
      <w:sz w:val="32"/>
      <w:szCs w:val="32"/>
    </w:rPr>
  </w:style>
  <w:style w:type="paragraph" w:customStyle="1" w:styleId="27">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8">
    <w:name w:val="批注框文本 Char"/>
    <w:basedOn w:val="14"/>
    <w:link w:val="8"/>
    <w:semiHidden/>
    <w:qFormat/>
    <w:uiPriority w:val="99"/>
    <w:rPr>
      <w:rFonts w:ascii="Times New Roman" w:hAnsi="Times New Roman"/>
      <w:kern w:val="2"/>
      <w:sz w:val="18"/>
      <w:szCs w:val="18"/>
    </w:rPr>
  </w:style>
  <w:style w:type="character" w:customStyle="1" w:styleId="29">
    <w:name w:val="标题 3 Char"/>
    <w:basedOn w:val="14"/>
    <w:link w:val="5"/>
    <w:qFormat/>
    <w:uiPriority w:val="9"/>
    <w:rPr>
      <w:rFonts w:ascii="Times New Roman" w:hAnsi="Times New Roman"/>
      <w:b/>
      <w:bCs/>
      <w:kern w:val="2"/>
      <w:sz w:val="32"/>
      <w:szCs w:val="32"/>
    </w:rPr>
  </w:style>
  <w:style w:type="paragraph" w:customStyle="1" w:styleId="30">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1">
    <w:name w:val="ToCaption"/>
    <w:basedOn w:val="1"/>
    <w:next w:val="1"/>
    <w:qFormat/>
    <w:uiPriority w:val="0"/>
    <w:pPr>
      <w:suppressAutoHyphens/>
      <w:ind w:leftChars="200" w:hanging="200" w:hangingChars="200"/>
      <w:jc w:val="both"/>
      <w:textAlignment w:val="baseline"/>
    </w:pPr>
  </w:style>
  <w:style w:type="character" w:customStyle="1" w:styleId="32">
    <w:name w:val="NormalCharacter"/>
    <w:qFormat/>
    <w:uiPriority w:val="0"/>
    <w:rPr>
      <w:rFonts w:ascii="Times New Roman" w:hAns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chart" Target="charts/chart5.xml"/><Relationship Id="rId13" Type="http://schemas.openxmlformats.org/officeDocument/2006/relationships/image" Target="media/image2.png"/><Relationship Id="rId12" Type="http://schemas.openxmlformats.org/officeDocument/2006/relationships/oleObject" Target="embeddings/oleObject2.bin"/><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3.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780120895727435"/>
          <c:y val="0.04544202698981"/>
        </c:manualLayout>
      </c:layout>
      <c:overlay val="false"/>
      <c:spPr>
        <a:noFill/>
        <a:ln>
          <a:noFill/>
        </a:ln>
        <a:effectLst/>
      </c:spPr>
    </c:title>
    <c:autoTitleDeleted val="false"/>
    <c:plotArea>
      <c:layout>
        <c:manualLayout>
          <c:layoutTarget val="inner"/>
          <c:xMode val="edge"/>
          <c:yMode val="edge"/>
          <c:x val="0.147713613796708"/>
          <c:y val="0.078468130690948"/>
          <c:w val="0.809041024301019"/>
          <c:h val="0.751312265666845"/>
        </c:manualLayout>
      </c:layout>
      <c:barChart>
        <c:barDir val="col"/>
        <c:grouping val="clustered"/>
        <c:varyColors val="false"/>
        <c:ser>
          <c:idx val="0"/>
          <c:order val="0"/>
          <c:tx>
            <c:strRef>
              <c:f>Sheet1!$A$1</c:f>
              <c:strCache>
                <c:ptCount val="1"/>
                <c:pt idx="0">
                  <c:v>2021年</c:v>
                </c:pt>
              </c:strCache>
            </c:strRef>
          </c:tx>
          <c:spPr>
            <a:solidFill>
              <a:schemeClr val="accent5">
                <a:lumMod val="60000"/>
                <a:lumOff val="40000"/>
              </a:schemeClr>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Sheet1!#REF!</c:f>
              <c:numCache>
                <c:ptCount val="0"/>
              </c:numCache>
            </c:numRef>
          </c:cat>
          <c:val>
            <c:numRef>
              <c:f>Sheet1!$A$2</c:f>
              <c:numCache>
                <c:formatCode>General</c:formatCode>
                <c:ptCount val="1"/>
                <c:pt idx="0">
                  <c:v>5057.21</c:v>
                </c:pt>
              </c:numCache>
            </c:numRef>
          </c:val>
        </c:ser>
        <c:ser>
          <c:idx val="1"/>
          <c:order val="1"/>
          <c:tx>
            <c:strRef>
              <c:f>Sheet1!$B$1</c:f>
              <c:strCache>
                <c:ptCount val="1"/>
                <c:pt idx="0">
                  <c:v>2022年</c:v>
                </c:pt>
              </c:strCache>
            </c:strRef>
          </c:tx>
          <c:spPr>
            <a:solidFill>
              <a:schemeClr val="accent6">
                <a:lumMod val="40000"/>
                <a:lumOff val="60000"/>
              </a:schemeClr>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Sheet1!#REF!</c:f>
              <c:numCache>
                <c:ptCount val="0"/>
              </c:numCache>
            </c:numRef>
          </c:cat>
          <c:val>
            <c:numRef>
              <c:f>Sheet1!$B$2</c:f>
              <c:numCache>
                <c:formatCode>General</c:formatCode>
                <c:ptCount val="1"/>
                <c:pt idx="0">
                  <c:v>4455.99</c:v>
                </c:pt>
              </c:numCache>
            </c:numRef>
          </c:val>
        </c:ser>
        <c:dLbls>
          <c:showLegendKey val="false"/>
          <c:showVal val="true"/>
          <c:showCatName val="false"/>
          <c:showSerName val="false"/>
          <c:showPercent val="false"/>
          <c:showBubbleSize val="false"/>
        </c:dLbls>
        <c:gapWidth val="219"/>
        <c:overlap val="-27"/>
        <c:axId val="431465481"/>
        <c:axId val="118039578"/>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extLst>
                      <c:ext uri="{02D57815-91ED-43cb-92C2-25804820EDAC}">
                        <c15:fullRef>
                          <c15:sqref/>
                        </c15:fullRef>
                        <c15:formulaRef>
                          <c15:sqref>Sheet1!#REF!</c15:sqref>
                        </c15:formulaRef>
                      </c:ext>
                    </c:extLst>
                    <c:numCache>
                      <c:ptCount val="0"/>
                    </c:numCache>
                  </c:num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431465481"/>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18039578"/>
        <c:crosses val="autoZero"/>
        <c:auto val="true"/>
        <c:lblAlgn val="ctr"/>
        <c:lblOffset val="100"/>
        <c:noMultiLvlLbl val="false"/>
      </c:catAx>
      <c:valAx>
        <c:axId val="118039578"/>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31465481"/>
        <c:crosses val="autoZero"/>
        <c:crossBetween val="between"/>
      </c:valAx>
      <c:spPr>
        <a:noFill/>
        <a:ln>
          <a:noFill/>
        </a:ln>
        <a:effectLst/>
      </c:spPr>
    </c:plotArea>
    <c:legend>
      <c:legendPos val="b"/>
      <c:layout>
        <c:manualLayout>
          <c:xMode val="edge"/>
          <c:yMode val="edge"/>
          <c:x val="0.35965848452508"/>
          <c:y val="0.879145873061141"/>
          <c:w val="0.214395825921973"/>
          <c:h val="0.0962924819773429"/>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714348515511789"/>
          <c:y val="0.0751251105109051"/>
        </c:manualLayout>
      </c:layout>
      <c:overlay val="false"/>
      <c:spPr>
        <a:noFill/>
        <a:ln>
          <a:noFill/>
        </a:ln>
        <a:effectLst/>
      </c:spPr>
    </c:title>
    <c:autoTitleDeleted val="false"/>
    <c:plotArea>
      <c:layout/>
      <c:pieChart>
        <c:varyColors val="true"/>
        <c:ser>
          <c:idx val="0"/>
          <c:order val="0"/>
          <c:tx>
            <c:strRef>
              <c:f>Sheet1!$B$1</c:f>
              <c:strCache>
                <c:ptCount val="1"/>
                <c:pt idx="0">
                  <c:v>销售额</c:v>
                </c:pt>
              </c:strCache>
            </c:strRef>
          </c:tx>
          <c:spPr/>
          <c:explosion val="0"/>
          <c:dPt>
            <c:idx val="0"/>
            <c:bubble3D val="false"/>
            <c:spPr>
              <a:solidFill>
                <a:schemeClr val="accent5">
                  <a:lumMod val="60000"/>
                  <a:lumOff val="40000"/>
                </a:schemeClr>
              </a:solidFill>
              <a:ln w="19050">
                <a:solidFill>
                  <a:schemeClr val="lt1"/>
                </a:solidFill>
              </a:ln>
              <a:effectLst/>
            </c:spPr>
          </c:dPt>
          <c:dPt>
            <c:idx val="1"/>
            <c:bubble3D val="false"/>
            <c:spPr>
              <a:solidFill>
                <a:schemeClr val="accent6">
                  <a:lumMod val="40000"/>
                  <a:lumOff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基本支出57.42%</c:v>
                </c:pt>
                <c:pt idx="1">
                  <c:v>项目支出42.58%</c:v>
                </c:pt>
              </c:strCache>
            </c:strRef>
          </c:cat>
          <c:val>
            <c:numRef>
              <c:f>Sheet1!$B$2:$B$3</c:f>
              <c:numCache>
                <c:formatCode>General</c:formatCode>
                <c:ptCount val="2"/>
                <c:pt idx="0">
                  <c:v>2434.9</c:v>
                </c:pt>
                <c:pt idx="1">
                  <c:v>1805.54</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780120895727435"/>
          <c:y val="0.04544202698981"/>
        </c:manualLayout>
      </c:layout>
      <c:overlay val="false"/>
      <c:spPr>
        <a:noFill/>
        <a:ln>
          <a:noFill/>
        </a:ln>
        <a:effectLst/>
      </c:spPr>
    </c:title>
    <c:autoTitleDeleted val="false"/>
    <c:plotArea>
      <c:layout>
        <c:manualLayout>
          <c:layoutTarget val="inner"/>
          <c:xMode val="edge"/>
          <c:yMode val="edge"/>
          <c:x val="0.147713613796708"/>
          <c:y val="0.078468130690948"/>
          <c:w val="0.809041024301019"/>
          <c:h val="0.751312265666845"/>
        </c:manualLayout>
      </c:layout>
      <c:barChart>
        <c:barDir val="col"/>
        <c:grouping val="clustered"/>
        <c:varyColors val="false"/>
        <c:ser>
          <c:idx val="0"/>
          <c:order val="0"/>
          <c:tx>
            <c:strRef>
              <c:f>Sheet1!$A$1</c:f>
              <c:strCache>
                <c:ptCount val="1"/>
                <c:pt idx="0">
                  <c:v>2021年</c:v>
                </c:pt>
              </c:strCache>
            </c:strRef>
          </c:tx>
          <c:spPr>
            <a:solidFill>
              <a:schemeClr val="accent5">
                <a:lumMod val="60000"/>
                <a:lumOff val="40000"/>
              </a:schemeClr>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Sheet1!#REF!</c:f>
              <c:numCache>
                <c:ptCount val="0"/>
              </c:numCache>
            </c:numRef>
          </c:cat>
          <c:val>
            <c:numRef>
              <c:f>Sheet1!$A$2</c:f>
              <c:numCache>
                <c:formatCode>General</c:formatCode>
                <c:ptCount val="1"/>
                <c:pt idx="0">
                  <c:v>5057.21</c:v>
                </c:pt>
              </c:numCache>
            </c:numRef>
          </c:val>
        </c:ser>
        <c:ser>
          <c:idx val="1"/>
          <c:order val="1"/>
          <c:tx>
            <c:strRef>
              <c:f>Sheet1!$B$1</c:f>
              <c:strCache>
                <c:ptCount val="1"/>
                <c:pt idx="0">
                  <c:v>2022年</c:v>
                </c:pt>
              </c:strCache>
            </c:strRef>
          </c:tx>
          <c:spPr>
            <a:solidFill>
              <a:schemeClr val="accent6">
                <a:lumMod val="40000"/>
                <a:lumOff val="60000"/>
              </a:schemeClr>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Sheet1!#REF!</c:f>
              <c:numCache>
                <c:ptCount val="0"/>
              </c:numCache>
            </c:numRef>
          </c:cat>
          <c:val>
            <c:numRef>
              <c:f>Sheet1!$B$2</c:f>
              <c:numCache>
                <c:formatCode>General</c:formatCode>
                <c:ptCount val="1"/>
                <c:pt idx="0">
                  <c:v>4455.99</c:v>
                </c:pt>
              </c:numCache>
            </c:numRef>
          </c:val>
        </c:ser>
        <c:dLbls>
          <c:showLegendKey val="false"/>
          <c:showVal val="true"/>
          <c:showCatName val="false"/>
          <c:showSerName val="false"/>
          <c:showPercent val="false"/>
          <c:showBubbleSize val="false"/>
        </c:dLbls>
        <c:gapWidth val="219"/>
        <c:overlap val="-27"/>
        <c:axId val="431465481"/>
        <c:axId val="118039578"/>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extLst>
                      <c:ext uri="{02D57815-91ED-43cb-92C2-25804820EDAC}">
                        <c15:fullRef>
                          <c15:sqref/>
                        </c15:fullRef>
                        <c15:formulaRef>
                          <c15:sqref>Sheet1!#REF!</c15:sqref>
                        </c15:formulaRef>
                      </c:ext>
                    </c:extLst>
                    <c:numCache>
                      <c:ptCount val="0"/>
                    </c:numCache>
                  </c:num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431465481"/>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18039578"/>
        <c:crosses val="autoZero"/>
        <c:auto val="true"/>
        <c:lblAlgn val="ctr"/>
        <c:lblOffset val="100"/>
        <c:noMultiLvlLbl val="false"/>
      </c:catAx>
      <c:valAx>
        <c:axId val="118039578"/>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31465481"/>
        <c:crosses val="autoZero"/>
        <c:crossBetween val="between"/>
      </c:valAx>
      <c:spPr>
        <a:noFill/>
        <a:ln>
          <a:noFill/>
        </a:ln>
        <a:effectLst/>
      </c:spPr>
    </c:plotArea>
    <c:legend>
      <c:legendPos val="b"/>
      <c:layout>
        <c:manualLayout>
          <c:xMode val="edge"/>
          <c:yMode val="edge"/>
          <c:x val="0.35965848452508"/>
          <c:y val="0.879145873061141"/>
          <c:w val="0.214395825921973"/>
          <c:h val="0.0962924819773429"/>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780120895727435"/>
          <c:y val="0.04544202698981"/>
        </c:manualLayout>
      </c:layout>
      <c:overlay val="false"/>
      <c:spPr>
        <a:noFill/>
        <a:ln>
          <a:noFill/>
        </a:ln>
        <a:effectLst/>
      </c:spPr>
    </c:title>
    <c:autoTitleDeleted val="false"/>
    <c:plotArea>
      <c:layout>
        <c:manualLayout>
          <c:layoutTarget val="inner"/>
          <c:xMode val="edge"/>
          <c:yMode val="edge"/>
          <c:x val="0.147713613796708"/>
          <c:y val="0.078468130690948"/>
          <c:w val="0.809041024301019"/>
          <c:h val="0.751312265666845"/>
        </c:manualLayout>
      </c:layout>
      <c:barChart>
        <c:barDir val="col"/>
        <c:grouping val="clustered"/>
        <c:varyColors val="false"/>
        <c:ser>
          <c:idx val="0"/>
          <c:order val="0"/>
          <c:tx>
            <c:strRef>
              <c:f>Sheet1!$A$1</c:f>
              <c:strCache>
                <c:ptCount val="1"/>
                <c:pt idx="0">
                  <c:v>2021年</c:v>
                </c:pt>
              </c:strCache>
            </c:strRef>
          </c:tx>
          <c:spPr>
            <a:solidFill>
              <a:schemeClr val="accent5">
                <a:lumMod val="60000"/>
                <a:lumOff val="40000"/>
              </a:schemeClr>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Sheet1!#REF!</c:f>
              <c:numCache>
                <c:ptCount val="0"/>
              </c:numCache>
            </c:numRef>
          </c:cat>
          <c:val>
            <c:numRef>
              <c:f>Sheet1!$A$2</c:f>
              <c:numCache>
                <c:formatCode>General</c:formatCode>
                <c:ptCount val="1"/>
                <c:pt idx="0">
                  <c:v>4662.06</c:v>
                </c:pt>
              </c:numCache>
            </c:numRef>
          </c:val>
        </c:ser>
        <c:ser>
          <c:idx val="1"/>
          <c:order val="1"/>
          <c:tx>
            <c:strRef>
              <c:f>Sheet1!$B$1</c:f>
              <c:strCache>
                <c:ptCount val="1"/>
                <c:pt idx="0">
                  <c:v>2022年</c:v>
                </c:pt>
              </c:strCache>
            </c:strRef>
          </c:tx>
          <c:spPr>
            <a:solidFill>
              <a:schemeClr val="accent6">
                <a:lumMod val="40000"/>
                <a:lumOff val="60000"/>
              </a:schemeClr>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f>Sheet1!#REF!</c:f>
              <c:numCache>
                <c:ptCount val="0"/>
              </c:numCache>
            </c:numRef>
          </c:cat>
          <c:val>
            <c:numRef>
              <c:f>Sheet1!$B$2</c:f>
              <c:numCache>
                <c:formatCode>General</c:formatCode>
                <c:ptCount val="1"/>
                <c:pt idx="0">
                  <c:v>4240.44</c:v>
                </c:pt>
              </c:numCache>
            </c:numRef>
          </c:val>
        </c:ser>
        <c:dLbls>
          <c:showLegendKey val="false"/>
          <c:showVal val="true"/>
          <c:showCatName val="false"/>
          <c:showSerName val="false"/>
          <c:showPercent val="false"/>
          <c:showBubbleSize val="false"/>
        </c:dLbls>
        <c:gapWidth val="219"/>
        <c:overlap val="-27"/>
        <c:axId val="431465481"/>
        <c:axId val="118039578"/>
        <c:extLst>
          <c:ext xmlns:c15="http://schemas.microsoft.com/office/drawing/2012/chart" uri="{02D57815-91ED-43cb-92C2-25804820EDAC}">
            <c15:filteredBarSeries>
              <c15:ser>
                <c:idx val="2"/>
                <c:order val="2"/>
                <c:tx>
                  <c:strRef>
                    <c:extLst>
                      <c:ext uri="{02D57815-91ED-43cb-92C2-25804820EDAC}">
                        <c15:formulaRef>
                          <c15:sqref>Sheet1!#REF!</c15:sqref>
                        </c15:formulaRef>
                      </c:ext>
                    </c:extLst>
                    <c:strCache>
                      <c:ptCount val="1"/>
                      <c:pt idx="0">
                        <c:v/>
                      </c:pt>
                    </c:strCache>
                  </c:strRef>
                </c:tx>
                <c:spPr>
                  <a:solidFill>
                    <a:schemeClr val="accent3"/>
                  </a:solidFill>
                  <a:ln>
                    <a:noFill/>
                  </a:ln>
                  <a:effectLst/>
                </c:spPr>
                <c:invertIfNegative val="false"/>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numRef>
                    <c:extLst>
                      <c:ext uri="{02D57815-91ED-43cb-92C2-25804820EDAC}">
                        <c15:fullRef>
                          <c15:sqref/>
                        </c15:fullRef>
                        <c15:formulaRef>
                          <c15:sqref>Sheet1!#REF!</c15:sqref>
                        </c15:formulaRef>
                      </c:ext>
                    </c:extLst>
                    <c:numCache>
                      <c:ptCount val="0"/>
                    </c:numCache>
                  </c:numRef>
                </c:cat>
                <c:val>
                  <c:numRef>
                    <c:extLst>
                      <c:ext uri="{02D57815-91ED-43cb-92C2-25804820EDAC}">
                        <c15:formulaRef>
                          <c15:sqref>Sheet1!#REF!</c15:sqref>
                        </c15:formulaRef>
                      </c:ext>
                    </c:extLst>
                    <c:numCache>
                      <c:formatCode>General</c:formatCode>
                      <c:ptCount val="1"/>
                      <c:pt idx="0">
                        <c:v>1</c:v>
                      </c:pt>
                    </c:numCache>
                  </c:numRef>
                </c:val>
              </c15:ser>
            </c15:filteredBarSeries>
          </c:ext>
        </c:extLst>
      </c:barChart>
      <c:catAx>
        <c:axId val="431465481"/>
        <c:scaling>
          <c:orientation val="minMax"/>
        </c:scaling>
        <c:delete val="false"/>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18039578"/>
        <c:crosses val="autoZero"/>
        <c:auto val="true"/>
        <c:lblAlgn val="ctr"/>
        <c:lblOffset val="100"/>
        <c:noMultiLvlLbl val="false"/>
      </c:catAx>
      <c:valAx>
        <c:axId val="118039578"/>
        <c:scaling>
          <c:orientation val="minMax"/>
        </c:scaling>
        <c:delete val="false"/>
        <c:axPos val="l"/>
        <c:majorGridlines>
          <c:spPr>
            <a:ln w="9525" cap="flat" cmpd="sng" algn="ctr">
              <a:solidFill>
                <a:schemeClr val="tx1">
                  <a:lumMod val="15000"/>
                  <a:lumOff val="85000"/>
                </a:schemeClr>
              </a:solidFill>
              <a:round/>
            </a:ln>
            <a:effectLst/>
          </c:spPr>
        </c:majorGridlines>
        <c:numFmt formatCode="General" sourceLinked="true"/>
        <c:majorTickMark val="none"/>
        <c:minorTickMark val="none"/>
        <c:tickLblPos val="nextTo"/>
        <c:spPr>
          <a:noFill/>
          <a:ln>
            <a:noFill/>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31465481"/>
        <c:crosses val="autoZero"/>
        <c:crossBetween val="between"/>
      </c:valAx>
      <c:spPr>
        <a:noFill/>
        <a:ln>
          <a:noFill/>
        </a:ln>
        <a:effectLst/>
      </c:spPr>
    </c:plotArea>
    <c:legend>
      <c:legendPos val="b"/>
      <c:layout>
        <c:manualLayout>
          <c:xMode val="edge"/>
          <c:yMode val="edge"/>
          <c:x val="0.35965848452508"/>
          <c:y val="0.879145873061141"/>
          <c:w val="0.214395825921973"/>
          <c:h val="0.0962924819773429"/>
        </c:manualLayout>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lumMod val="65000"/>
                    <a:lumOff val="35000"/>
                  </a:schemeClr>
                </a:solidFill>
                <a:latin typeface="+mn-lt"/>
                <a:ea typeface="+mn-ea"/>
                <a:cs typeface="+mn-cs"/>
              </a:defRPr>
            </a:pPr>
            <a:r>
              <a:t>单位：万元</a:t>
            </a:r>
          </a:p>
        </c:rich>
      </c:tx>
      <c:layout>
        <c:manualLayout>
          <c:xMode val="edge"/>
          <c:yMode val="edge"/>
          <c:x val="0.714348515511789"/>
          <c:y val="0.0751251105109051"/>
        </c:manualLayout>
      </c:layout>
      <c:overlay val="false"/>
      <c:spPr>
        <a:noFill/>
        <a:ln>
          <a:noFill/>
        </a:ln>
        <a:effectLst/>
      </c:spPr>
    </c:title>
    <c:autoTitleDeleted val="false"/>
    <c:plotArea>
      <c:layout/>
      <c:pieChart>
        <c:varyColors val="true"/>
        <c:ser>
          <c:idx val="0"/>
          <c:order val="0"/>
          <c:tx>
            <c:strRef>
              <c:f>Sheet1!$B$1</c:f>
              <c:strCache>
                <c:ptCount val="1"/>
                <c:pt idx="0">
                  <c:v>销售额</c:v>
                </c:pt>
              </c:strCache>
            </c:strRef>
          </c:tx>
          <c:spPr/>
          <c:explosion val="0"/>
          <c:dPt>
            <c:idx val="0"/>
            <c:bubble3D val="false"/>
            <c:spPr>
              <a:solidFill>
                <a:schemeClr val="accent5">
                  <a:lumMod val="60000"/>
                  <a:lumOff val="40000"/>
                </a:schemeClr>
              </a:solidFill>
              <a:ln w="19050">
                <a:solidFill>
                  <a:schemeClr val="lt1"/>
                </a:solidFill>
              </a:ln>
              <a:effectLst/>
            </c:spPr>
          </c:dPt>
          <c:dPt>
            <c:idx val="1"/>
            <c:bubble3D val="false"/>
            <c:spPr>
              <a:solidFill>
                <a:schemeClr val="accent6">
                  <a:lumMod val="40000"/>
                  <a:lumOff val="60000"/>
                </a:schemeClr>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Sheet1!$A$2:$A$3</c:f>
              <c:strCache>
                <c:ptCount val="2"/>
                <c:pt idx="0">
                  <c:v>公务用车购置及运行维护费支出91.08%</c:v>
                </c:pt>
                <c:pt idx="1">
                  <c:v>公务接待费支出8.92%</c:v>
                </c:pt>
              </c:strCache>
            </c:strRef>
          </c:cat>
          <c:val>
            <c:numRef>
              <c:f>Sheet1!$B$2:$B$3</c:f>
              <c:numCache>
                <c:formatCode>General</c:formatCode>
                <c:ptCount val="2"/>
                <c:pt idx="0">
                  <c:v>44.81</c:v>
                </c:pt>
                <c:pt idx="1">
                  <c:v>4.39</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24</Pages>
  <Words>1299</Words>
  <Characters>7410</Characters>
  <Lines>61</Lines>
  <Paragraphs>17</Paragraphs>
  <TotalTime>1</TotalTime>
  <ScaleCrop>false</ScaleCrop>
  <LinksUpToDate>false</LinksUpToDate>
  <CharactersWithSpaces>8692</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2020-08-07T01:49:00Z</dcterms:created>
  <dc:creator>曹颖</dc:creator>
  <cp:lastModifiedBy>uos</cp:lastModifiedBy>
  <cp:lastPrinted>2023-08-02T02:35:00Z</cp:lastPrinted>
  <dcterms:modified xsi:type="dcterms:W3CDTF">2023-10-30T10:57:22Z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6B70361D626A4593B4A9C4A901EC4F63</vt:lpwstr>
  </property>
</Properties>
</file>